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6D45" w14:textId="22E70B3C" w:rsidR="00EF3A79" w:rsidRDefault="00EB7730" w:rsidP="00EB7730">
      <w:pPr>
        <w:tabs>
          <w:tab w:val="left" w:pos="72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F11E4" wp14:editId="6BDDDF5E">
            <wp:simplePos x="0" y="0"/>
            <wp:positionH relativeFrom="margin">
              <wp:posOffset>2256817</wp:posOffset>
            </wp:positionH>
            <wp:positionV relativeFrom="paragraph">
              <wp:posOffset>-58366</wp:posOffset>
            </wp:positionV>
            <wp:extent cx="1854123" cy="8858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12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6B4EC" w14:textId="5A777715" w:rsidR="00EB7730" w:rsidRDefault="00EB7730" w:rsidP="00EB7730">
      <w:pPr>
        <w:tabs>
          <w:tab w:val="left" w:pos="7200"/>
        </w:tabs>
      </w:pPr>
    </w:p>
    <w:p w14:paraId="3420470F" w14:textId="5552C98A" w:rsidR="00EB7730" w:rsidRDefault="00EB7730" w:rsidP="00EB7730">
      <w:pPr>
        <w:tabs>
          <w:tab w:val="left" w:pos="7200"/>
        </w:tabs>
      </w:pPr>
    </w:p>
    <w:p w14:paraId="640A8AB9" w14:textId="0378C203" w:rsidR="00EB7730" w:rsidRDefault="00EB7730" w:rsidP="00EB7730">
      <w:pPr>
        <w:tabs>
          <w:tab w:val="left" w:pos="7200"/>
        </w:tabs>
      </w:pPr>
    </w:p>
    <w:p w14:paraId="4CBE9385" w14:textId="462E3A3F" w:rsidR="00EB7730" w:rsidRDefault="00EB7730" w:rsidP="00EB7730">
      <w:pPr>
        <w:tabs>
          <w:tab w:val="left" w:pos="7200"/>
        </w:tabs>
      </w:pPr>
    </w:p>
    <w:p w14:paraId="250F08B1" w14:textId="278A5504" w:rsidR="00BC020F" w:rsidRPr="00BC020F" w:rsidRDefault="00BC020F" w:rsidP="00BC020F">
      <w:pPr>
        <w:pStyle w:val="NormaleWeb"/>
        <w:jc w:val="right"/>
        <w:rPr>
          <w:i/>
          <w:iCs/>
          <w:sz w:val="20"/>
          <w:szCs w:val="20"/>
        </w:rPr>
      </w:pPr>
      <w:r w:rsidRPr="00BC020F">
        <w:rPr>
          <w:i/>
          <w:iCs/>
          <w:sz w:val="20"/>
          <w:szCs w:val="20"/>
        </w:rPr>
        <w:t xml:space="preserve">Roma, </w:t>
      </w:r>
      <w:r w:rsidR="00EF1CD6">
        <w:rPr>
          <w:i/>
          <w:iCs/>
          <w:sz w:val="20"/>
          <w:szCs w:val="20"/>
        </w:rPr>
        <w:t>28</w:t>
      </w:r>
      <w:r w:rsidRPr="00BC020F">
        <w:rPr>
          <w:i/>
          <w:iCs/>
          <w:sz w:val="20"/>
          <w:szCs w:val="20"/>
        </w:rPr>
        <w:t xml:space="preserve"> </w:t>
      </w:r>
      <w:r w:rsidR="00EF1CD6">
        <w:rPr>
          <w:i/>
          <w:iCs/>
          <w:sz w:val="20"/>
          <w:szCs w:val="20"/>
        </w:rPr>
        <w:t>giugno</w:t>
      </w:r>
      <w:r w:rsidRPr="00BC020F">
        <w:rPr>
          <w:i/>
          <w:iCs/>
          <w:sz w:val="20"/>
          <w:szCs w:val="20"/>
        </w:rPr>
        <w:t xml:space="preserve"> 2023</w:t>
      </w:r>
    </w:p>
    <w:p w14:paraId="3BB70F78" w14:textId="53F2CF7E" w:rsidR="00684BDF" w:rsidRPr="00BC020F" w:rsidRDefault="00EB7730" w:rsidP="00561247">
      <w:pPr>
        <w:pStyle w:val="NormaleWeb"/>
        <w:jc w:val="center"/>
        <w:rPr>
          <w:b/>
          <w:bCs/>
          <w:sz w:val="32"/>
          <w:szCs w:val="32"/>
          <w:u w:val="single"/>
        </w:rPr>
      </w:pPr>
      <w:r w:rsidRPr="00BC020F">
        <w:rPr>
          <w:b/>
          <w:bCs/>
          <w:sz w:val="32"/>
          <w:szCs w:val="32"/>
          <w:u w:val="single"/>
        </w:rPr>
        <w:t>COMUNICATO STAMPA</w:t>
      </w:r>
    </w:p>
    <w:p w14:paraId="0D0C50A2" w14:textId="77777777" w:rsidR="00E43DE1" w:rsidRPr="00E14024" w:rsidRDefault="00E43DE1" w:rsidP="0013367A">
      <w:pPr>
        <w:tabs>
          <w:tab w:val="left" w:pos="7200"/>
        </w:tabs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FC40594" w14:textId="77D90A67" w:rsidR="0024223C" w:rsidRPr="00BC020F" w:rsidRDefault="00EF1CD6" w:rsidP="0024223C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APPROVATO AL TRILOGO UN IMPORTANTE PROVVEDIMENTO CHE </w:t>
      </w:r>
      <w:r w:rsidR="007C0595">
        <w:rPr>
          <w:rFonts w:ascii="Times New Roman" w:eastAsia="Calibri" w:hAnsi="Times New Roman" w:cs="Times New Roman"/>
          <w:b/>
          <w:bCs/>
          <w:sz w:val="28"/>
          <w:szCs w:val="28"/>
        </w:rPr>
        <w:t>STABILISCE UN PIÙ FAVOREVOLE TRATTAMENTO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C0595">
        <w:rPr>
          <w:rFonts w:ascii="Times New Roman" w:eastAsia="Calibri" w:hAnsi="Times New Roman" w:cs="Times New Roman"/>
          <w:b/>
          <w:bCs/>
          <w:sz w:val="28"/>
          <w:szCs w:val="28"/>
        </w:rPr>
        <w:t>DEL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CREDITO SHIPPING</w:t>
      </w:r>
    </w:p>
    <w:p w14:paraId="13CDA4AA" w14:textId="4CDEF7E5" w:rsidR="0024223C" w:rsidRDefault="00CC3AF2" w:rsidP="0024223C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Mario Mattioli: </w:t>
      </w:r>
      <w:r w:rsidRPr="00CC3AF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“Questo risultato è frutto di un lungo lavoro impostato da Confitarma circa </w:t>
      </w:r>
      <w:r w:rsidR="00075DB4">
        <w:rPr>
          <w:rFonts w:ascii="Times New Roman" w:eastAsia="Calibri" w:hAnsi="Times New Roman" w:cs="Times New Roman"/>
          <w:b/>
          <w:bCs/>
          <w:sz w:val="30"/>
          <w:szCs w:val="30"/>
        </w:rPr>
        <w:t>venti</w:t>
      </w:r>
      <w:r w:rsidRPr="00CC3AF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anni fa”</w:t>
      </w:r>
    </w:p>
    <w:p w14:paraId="435A3CBE" w14:textId="77777777" w:rsidR="00CC3AF2" w:rsidRPr="0024223C" w:rsidRDefault="00CC3AF2" w:rsidP="0024223C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3E4386F1" w14:textId="3FE153E7" w:rsidR="00EF1CD6" w:rsidRPr="00EF1CD6" w:rsidRDefault="001168DD" w:rsidP="00EF1CD6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È stato a</w:t>
      </w:r>
      <w:r w:rsidR="00EF1CD6" w:rsidRPr="00EF1CD6">
        <w:rPr>
          <w:rFonts w:ascii="Times New Roman" w:eastAsia="Calibri" w:hAnsi="Times New Roman" w:cs="Times New Roman"/>
        </w:rPr>
        <w:t xml:space="preserve">pprovato al Trilogo il provvedimento che, </w:t>
      </w:r>
      <w:r w:rsidR="00B14318">
        <w:rPr>
          <w:rFonts w:ascii="Times New Roman" w:eastAsia="Calibri" w:hAnsi="Times New Roman" w:cs="Times New Roman"/>
        </w:rPr>
        <w:t xml:space="preserve">ai fini del nuovo Regolamento di Basilea (c.d. “Basel III Plus”, </w:t>
      </w:r>
      <w:r w:rsidR="00EF1CD6" w:rsidRPr="00EF1CD6">
        <w:rPr>
          <w:rFonts w:ascii="Times New Roman" w:eastAsia="Calibri" w:hAnsi="Times New Roman" w:cs="Times New Roman"/>
        </w:rPr>
        <w:t>nell’ambito dell’art. 495 (b), si sostanzia in un differente e più favorevole trattamento della categoria del credito shipping (inserito nell</w:t>
      </w:r>
      <w:r w:rsidR="00B14318">
        <w:rPr>
          <w:rFonts w:ascii="Times New Roman" w:eastAsia="Calibri" w:hAnsi="Times New Roman" w:cs="Times New Roman"/>
        </w:rPr>
        <w:t>a categoria</w:t>
      </w:r>
      <w:r w:rsidR="00EF1CD6" w:rsidRPr="00EF1CD6">
        <w:rPr>
          <w:rFonts w:ascii="Times New Roman" w:eastAsia="Calibri" w:hAnsi="Times New Roman" w:cs="Times New Roman"/>
        </w:rPr>
        <w:t xml:space="preserve"> </w:t>
      </w:r>
      <w:proofErr w:type="spellStart"/>
      <w:r w:rsidR="00EF1CD6" w:rsidRPr="00EF1CD6">
        <w:rPr>
          <w:rFonts w:ascii="Times New Roman" w:eastAsia="Calibri" w:hAnsi="Times New Roman" w:cs="Times New Roman"/>
        </w:rPr>
        <w:t>Specialised</w:t>
      </w:r>
      <w:proofErr w:type="spellEnd"/>
      <w:r w:rsidR="00EF1CD6" w:rsidRPr="00EF1CD6">
        <w:rPr>
          <w:rFonts w:ascii="Times New Roman" w:eastAsia="Calibri" w:hAnsi="Times New Roman" w:cs="Times New Roman"/>
        </w:rPr>
        <w:t xml:space="preserve"> Lending). </w:t>
      </w:r>
    </w:p>
    <w:p w14:paraId="7728A302" w14:textId="69C82489" w:rsidR="00EF1CD6" w:rsidRPr="00EF1CD6" w:rsidRDefault="00EF1CD6" w:rsidP="00EF1CD6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EF1CD6">
        <w:rPr>
          <w:rFonts w:ascii="Times New Roman" w:eastAsia="Calibri" w:hAnsi="Times New Roman" w:cs="Times New Roman"/>
        </w:rPr>
        <w:t>In pratica, dall’approvazione del Regolamento, le esposizioni shipping, con determinate caratteristiche, comporteranno un minore assorbimento di mezzi propri per le banche (dal precedente 100% all’80%)</w:t>
      </w:r>
      <w:r w:rsidR="001168DD">
        <w:rPr>
          <w:rFonts w:ascii="Times New Roman" w:eastAsia="Calibri" w:hAnsi="Times New Roman" w:cs="Times New Roman"/>
        </w:rPr>
        <w:t>.</w:t>
      </w:r>
      <w:r w:rsidRPr="00EF1CD6">
        <w:rPr>
          <w:rFonts w:ascii="Times New Roman" w:eastAsia="Calibri" w:hAnsi="Times New Roman" w:cs="Times New Roman"/>
        </w:rPr>
        <w:t xml:space="preserve"> </w:t>
      </w:r>
      <w:r w:rsidR="001168DD">
        <w:rPr>
          <w:rFonts w:ascii="Times New Roman" w:eastAsia="Calibri" w:hAnsi="Times New Roman" w:cs="Times New Roman"/>
        </w:rPr>
        <w:t>I</w:t>
      </w:r>
      <w:r w:rsidRPr="00EF1CD6">
        <w:rPr>
          <w:rFonts w:ascii="Times New Roman" w:eastAsia="Calibri" w:hAnsi="Times New Roman" w:cs="Times New Roman"/>
        </w:rPr>
        <w:t>n sintesi per ogni 100 € prestati</w:t>
      </w:r>
      <w:r w:rsidR="001168DD">
        <w:rPr>
          <w:rFonts w:ascii="Times New Roman" w:eastAsia="Calibri" w:hAnsi="Times New Roman" w:cs="Times New Roman"/>
        </w:rPr>
        <w:t>,</w:t>
      </w:r>
      <w:r w:rsidRPr="00EF1CD6">
        <w:rPr>
          <w:rFonts w:ascii="Times New Roman" w:eastAsia="Calibri" w:hAnsi="Times New Roman" w:cs="Times New Roman"/>
        </w:rPr>
        <w:t xml:space="preserve"> le banche impegneranno 6,4 € di capitale proprio rispetto agli 8 € attuali. </w:t>
      </w:r>
    </w:p>
    <w:p w14:paraId="07567295" w14:textId="1FC18F64" w:rsidR="00D1142B" w:rsidRDefault="00D1142B" w:rsidP="00EF1CD6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D1142B">
        <w:rPr>
          <w:rFonts w:ascii="Times New Roman" w:eastAsia="Calibri" w:hAnsi="Times New Roman" w:cs="Times New Roman"/>
        </w:rPr>
        <w:t>Su richiesta di Confitarma la durata temporanea del provvedimento - inizialmente fissata al 2030 - è stata estesa fino al 2032 e lo stesso sarà sottoposto a valutazione del EBA al 2030, con possibilità da parte del Parlamento di emanare un nuovo provvedimento entro il 2031</w:t>
      </w:r>
      <w:r>
        <w:rPr>
          <w:rFonts w:ascii="Times New Roman" w:eastAsia="Calibri" w:hAnsi="Times New Roman" w:cs="Times New Roman"/>
        </w:rPr>
        <w:t>.</w:t>
      </w:r>
    </w:p>
    <w:p w14:paraId="06C87CFA" w14:textId="539146D0" w:rsidR="00EF1CD6" w:rsidRPr="00EF1CD6" w:rsidRDefault="001168DD" w:rsidP="00EF1CD6">
      <w:pPr>
        <w:spacing w:after="160" w:line="256" w:lineRule="auto"/>
        <w:jc w:val="both"/>
        <w:rPr>
          <w:rFonts w:ascii="Times New Roman" w:eastAsia="Calibri" w:hAnsi="Times New Roman" w:cs="Times New Roman"/>
          <w:i/>
          <w:iCs/>
        </w:rPr>
      </w:pPr>
      <w:r w:rsidRPr="001168DD">
        <w:rPr>
          <w:rFonts w:ascii="Times New Roman" w:eastAsia="Calibri" w:hAnsi="Times New Roman" w:cs="Times New Roman"/>
          <w:i/>
          <w:iCs/>
        </w:rPr>
        <w:t>“</w:t>
      </w:r>
      <w:r w:rsidR="00EF1CD6" w:rsidRPr="00EF1CD6">
        <w:rPr>
          <w:rFonts w:ascii="Times New Roman" w:eastAsia="Calibri" w:hAnsi="Times New Roman" w:cs="Times New Roman"/>
          <w:i/>
          <w:iCs/>
        </w:rPr>
        <w:t xml:space="preserve">Questo </w:t>
      </w:r>
      <w:r>
        <w:rPr>
          <w:rFonts w:ascii="Times New Roman" w:eastAsia="Calibri" w:hAnsi="Times New Roman" w:cs="Times New Roman"/>
          <w:i/>
          <w:iCs/>
        </w:rPr>
        <w:t>risultato</w:t>
      </w:r>
      <w:r w:rsidR="00EF1CD6" w:rsidRPr="00EF1CD6">
        <w:rPr>
          <w:rFonts w:ascii="Times New Roman" w:eastAsia="Calibri" w:hAnsi="Times New Roman" w:cs="Times New Roman"/>
          <w:i/>
          <w:iCs/>
        </w:rPr>
        <w:t xml:space="preserve"> è frutto di un lungo lavoro impostato da Confitarma circa </w:t>
      </w:r>
      <w:r w:rsidR="00075DB4">
        <w:rPr>
          <w:rFonts w:ascii="Times New Roman" w:eastAsia="Calibri" w:hAnsi="Times New Roman" w:cs="Times New Roman"/>
          <w:i/>
          <w:iCs/>
        </w:rPr>
        <w:t>venti</w:t>
      </w:r>
      <w:r w:rsidR="00EF1CD6" w:rsidRPr="00EF1CD6">
        <w:rPr>
          <w:rFonts w:ascii="Times New Roman" w:eastAsia="Calibri" w:hAnsi="Times New Roman" w:cs="Times New Roman"/>
          <w:i/>
          <w:iCs/>
        </w:rPr>
        <w:t xml:space="preserve"> anni fa</w:t>
      </w:r>
      <w:r w:rsidRPr="001168DD">
        <w:rPr>
          <w:rFonts w:ascii="Times New Roman" w:eastAsia="Calibri" w:hAnsi="Times New Roman" w:cs="Times New Roman"/>
          <w:i/>
          <w:iCs/>
        </w:rPr>
        <w:t xml:space="preserve">” – </w:t>
      </w:r>
      <w:r w:rsidRPr="001168DD">
        <w:rPr>
          <w:rFonts w:ascii="Times New Roman" w:eastAsia="Calibri" w:hAnsi="Times New Roman" w:cs="Times New Roman"/>
        </w:rPr>
        <w:t xml:space="preserve">ha commentato il Presidente </w:t>
      </w:r>
      <w:r w:rsidRPr="001168DD">
        <w:rPr>
          <w:rFonts w:ascii="Times New Roman" w:eastAsia="Calibri" w:hAnsi="Times New Roman" w:cs="Times New Roman"/>
          <w:b/>
          <w:bCs/>
        </w:rPr>
        <w:t>Mario Mattioli</w:t>
      </w:r>
      <w:r w:rsidRPr="001168DD">
        <w:rPr>
          <w:rFonts w:ascii="Times New Roman" w:eastAsia="Calibri" w:hAnsi="Times New Roman" w:cs="Times New Roman"/>
        </w:rPr>
        <w:t xml:space="preserve"> </w:t>
      </w:r>
      <w:r w:rsidRPr="001168DD">
        <w:rPr>
          <w:rFonts w:ascii="Times New Roman" w:eastAsia="Calibri" w:hAnsi="Times New Roman" w:cs="Times New Roman"/>
          <w:i/>
          <w:iCs/>
        </w:rPr>
        <w:t>–</w:t>
      </w:r>
      <w:r w:rsidR="00EF1CD6" w:rsidRPr="00EF1CD6">
        <w:rPr>
          <w:rFonts w:ascii="Times New Roman" w:eastAsia="Calibri" w:hAnsi="Times New Roman" w:cs="Times New Roman"/>
          <w:i/>
          <w:iCs/>
        </w:rPr>
        <w:t xml:space="preserve"> </w:t>
      </w:r>
      <w:r w:rsidRPr="001168DD">
        <w:rPr>
          <w:rFonts w:ascii="Times New Roman" w:eastAsia="Calibri" w:hAnsi="Times New Roman" w:cs="Times New Roman"/>
          <w:i/>
          <w:iCs/>
        </w:rPr>
        <w:t>“</w:t>
      </w:r>
      <w:r w:rsidR="00EF1CD6" w:rsidRPr="00EF1CD6">
        <w:rPr>
          <w:rFonts w:ascii="Times New Roman" w:eastAsia="Calibri" w:hAnsi="Times New Roman" w:cs="Times New Roman"/>
          <w:i/>
          <w:iCs/>
        </w:rPr>
        <w:t>con l’introduzione del Regolamento di Basilea I e II e che ha portato al riconoscimento della opportuna classificazione di rischio per il credito shipping, valutando in maniera corretta il contenuto di mitigazione assicurato dalla garanzia sottostante (nave). L’iniziativa d</w:t>
      </w:r>
      <w:r>
        <w:rPr>
          <w:rFonts w:ascii="Times New Roman" w:eastAsia="Calibri" w:hAnsi="Times New Roman" w:cs="Times New Roman"/>
          <w:i/>
          <w:iCs/>
        </w:rPr>
        <w:t xml:space="preserve">ella Confederazione </w:t>
      </w:r>
      <w:r w:rsidR="00EF1CD6" w:rsidRPr="00EF1CD6">
        <w:rPr>
          <w:rFonts w:ascii="Times New Roman" w:eastAsia="Calibri" w:hAnsi="Times New Roman" w:cs="Times New Roman"/>
          <w:i/>
          <w:iCs/>
        </w:rPr>
        <w:t xml:space="preserve">si è riflessa nella parallela attività svolta a livello di ECSA da parte della stessa facilitando la convergenza degli interessi di tutti i Paesi e membri associati. Particolarmente fattivo è stato anche il contributo di ABI e di Confindustria, nonché la costante attività politica e tecnica svolta dal gabinetto dello Shadow </w:t>
      </w:r>
      <w:proofErr w:type="spellStart"/>
      <w:r w:rsidR="00EF1CD6" w:rsidRPr="00EF1CD6">
        <w:rPr>
          <w:rFonts w:ascii="Times New Roman" w:eastAsia="Calibri" w:hAnsi="Times New Roman" w:cs="Times New Roman"/>
          <w:i/>
          <w:iCs/>
        </w:rPr>
        <w:t>Rapporteur</w:t>
      </w:r>
      <w:proofErr w:type="spellEnd"/>
      <w:r w:rsidR="00EF1CD6" w:rsidRPr="00EF1CD6">
        <w:rPr>
          <w:rFonts w:ascii="Times New Roman" w:eastAsia="Calibri" w:hAnsi="Times New Roman" w:cs="Times New Roman"/>
          <w:i/>
          <w:iCs/>
        </w:rPr>
        <w:t> On. Marco Zanni</w:t>
      </w:r>
      <w:r w:rsidRPr="001168DD">
        <w:rPr>
          <w:rFonts w:ascii="Times New Roman" w:eastAsia="Calibri" w:hAnsi="Times New Roman" w:cs="Times New Roman"/>
          <w:i/>
          <w:iCs/>
        </w:rPr>
        <w:t>, che ringrazio”.</w:t>
      </w:r>
    </w:p>
    <w:p w14:paraId="4F2D6261" w14:textId="73D1FFBD" w:rsidR="00E14024" w:rsidRPr="00561247" w:rsidRDefault="00E14024" w:rsidP="0024223C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558535" w14:textId="77777777" w:rsidR="00561247" w:rsidRPr="00561247" w:rsidRDefault="00561247" w:rsidP="00E14024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458284" w14:textId="62E22D5E" w:rsidR="00561247" w:rsidRPr="00E14024" w:rsidRDefault="00561247" w:rsidP="00561247">
      <w:pPr>
        <w:pStyle w:val="NormaleWeb"/>
        <w:jc w:val="both"/>
      </w:pPr>
    </w:p>
    <w:sectPr w:rsidR="00561247" w:rsidRPr="00E14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A36ED"/>
    <w:multiLevelType w:val="hybridMultilevel"/>
    <w:tmpl w:val="D4B02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0"/>
    <w:rsid w:val="0002787B"/>
    <w:rsid w:val="00071F50"/>
    <w:rsid w:val="00075DB4"/>
    <w:rsid w:val="00096B75"/>
    <w:rsid w:val="000A5AF1"/>
    <w:rsid w:val="000A6EE1"/>
    <w:rsid w:val="000A6FFE"/>
    <w:rsid w:val="000C38AD"/>
    <w:rsid w:val="000E4907"/>
    <w:rsid w:val="00105D82"/>
    <w:rsid w:val="001168DD"/>
    <w:rsid w:val="00125915"/>
    <w:rsid w:val="001260ED"/>
    <w:rsid w:val="0013367A"/>
    <w:rsid w:val="00133E55"/>
    <w:rsid w:val="001410DC"/>
    <w:rsid w:val="00143332"/>
    <w:rsid w:val="00172380"/>
    <w:rsid w:val="00180EB5"/>
    <w:rsid w:val="0019240D"/>
    <w:rsid w:val="00193F43"/>
    <w:rsid w:val="001C5F26"/>
    <w:rsid w:val="001F0B4C"/>
    <w:rsid w:val="001F3E43"/>
    <w:rsid w:val="00206211"/>
    <w:rsid w:val="00212F96"/>
    <w:rsid w:val="00215B64"/>
    <w:rsid w:val="00217EBB"/>
    <w:rsid w:val="00222030"/>
    <w:rsid w:val="00222C7B"/>
    <w:rsid w:val="002242A4"/>
    <w:rsid w:val="002263FD"/>
    <w:rsid w:val="0023245C"/>
    <w:rsid w:val="0024223C"/>
    <w:rsid w:val="002431F9"/>
    <w:rsid w:val="0027497C"/>
    <w:rsid w:val="00281A70"/>
    <w:rsid w:val="002A1358"/>
    <w:rsid w:val="002A76EA"/>
    <w:rsid w:val="002B2145"/>
    <w:rsid w:val="002F2BB7"/>
    <w:rsid w:val="002F7A57"/>
    <w:rsid w:val="00312088"/>
    <w:rsid w:val="00316312"/>
    <w:rsid w:val="00320B0A"/>
    <w:rsid w:val="0032250A"/>
    <w:rsid w:val="00332596"/>
    <w:rsid w:val="00350608"/>
    <w:rsid w:val="003A69A7"/>
    <w:rsid w:val="003B7BA5"/>
    <w:rsid w:val="003C3508"/>
    <w:rsid w:val="0041014D"/>
    <w:rsid w:val="00423105"/>
    <w:rsid w:val="00432CAE"/>
    <w:rsid w:val="004422B6"/>
    <w:rsid w:val="00443BBA"/>
    <w:rsid w:val="0046344B"/>
    <w:rsid w:val="0046594C"/>
    <w:rsid w:val="00474C94"/>
    <w:rsid w:val="00494451"/>
    <w:rsid w:val="00496DE2"/>
    <w:rsid w:val="004B115D"/>
    <w:rsid w:val="004C3FC7"/>
    <w:rsid w:val="004C7F7A"/>
    <w:rsid w:val="004D2614"/>
    <w:rsid w:val="004D31AE"/>
    <w:rsid w:val="004E0CF4"/>
    <w:rsid w:val="004E35CF"/>
    <w:rsid w:val="004F27FD"/>
    <w:rsid w:val="00523819"/>
    <w:rsid w:val="00526AA8"/>
    <w:rsid w:val="00532464"/>
    <w:rsid w:val="0053695F"/>
    <w:rsid w:val="005454D1"/>
    <w:rsid w:val="0055550E"/>
    <w:rsid w:val="00561247"/>
    <w:rsid w:val="00563F72"/>
    <w:rsid w:val="00574259"/>
    <w:rsid w:val="00577B28"/>
    <w:rsid w:val="005819B6"/>
    <w:rsid w:val="005A2DB7"/>
    <w:rsid w:val="005B6856"/>
    <w:rsid w:val="005E5606"/>
    <w:rsid w:val="005F2E89"/>
    <w:rsid w:val="005F6E8E"/>
    <w:rsid w:val="00605AB9"/>
    <w:rsid w:val="00622FEA"/>
    <w:rsid w:val="006244EE"/>
    <w:rsid w:val="00625F9D"/>
    <w:rsid w:val="00630F2D"/>
    <w:rsid w:val="006315BA"/>
    <w:rsid w:val="00645D07"/>
    <w:rsid w:val="00646655"/>
    <w:rsid w:val="00676F19"/>
    <w:rsid w:val="006808E8"/>
    <w:rsid w:val="00684BDF"/>
    <w:rsid w:val="00685245"/>
    <w:rsid w:val="00696A4E"/>
    <w:rsid w:val="006A5E4C"/>
    <w:rsid w:val="006A7F46"/>
    <w:rsid w:val="006C048C"/>
    <w:rsid w:val="006D2B61"/>
    <w:rsid w:val="006F40DD"/>
    <w:rsid w:val="006F6A7A"/>
    <w:rsid w:val="00722FE8"/>
    <w:rsid w:val="00726D3A"/>
    <w:rsid w:val="007823D8"/>
    <w:rsid w:val="00793950"/>
    <w:rsid w:val="007944D5"/>
    <w:rsid w:val="007945E9"/>
    <w:rsid w:val="007A1B31"/>
    <w:rsid w:val="007B4522"/>
    <w:rsid w:val="007B6A66"/>
    <w:rsid w:val="007C0595"/>
    <w:rsid w:val="007C29C0"/>
    <w:rsid w:val="007C4463"/>
    <w:rsid w:val="007C4C4B"/>
    <w:rsid w:val="007C79D6"/>
    <w:rsid w:val="007E0648"/>
    <w:rsid w:val="007E4DAE"/>
    <w:rsid w:val="007E665F"/>
    <w:rsid w:val="007F7BB3"/>
    <w:rsid w:val="00806389"/>
    <w:rsid w:val="00811DB6"/>
    <w:rsid w:val="00820826"/>
    <w:rsid w:val="008415E8"/>
    <w:rsid w:val="00845662"/>
    <w:rsid w:val="00845C74"/>
    <w:rsid w:val="008518D9"/>
    <w:rsid w:val="00854023"/>
    <w:rsid w:val="00856BEE"/>
    <w:rsid w:val="00860EE9"/>
    <w:rsid w:val="008803F7"/>
    <w:rsid w:val="008865FD"/>
    <w:rsid w:val="00887093"/>
    <w:rsid w:val="00887D8C"/>
    <w:rsid w:val="00887E78"/>
    <w:rsid w:val="0089181B"/>
    <w:rsid w:val="008B1C66"/>
    <w:rsid w:val="008D2F68"/>
    <w:rsid w:val="008F0247"/>
    <w:rsid w:val="008F31E5"/>
    <w:rsid w:val="008F6EF5"/>
    <w:rsid w:val="009034FA"/>
    <w:rsid w:val="00905014"/>
    <w:rsid w:val="00921E87"/>
    <w:rsid w:val="00955FA8"/>
    <w:rsid w:val="00964766"/>
    <w:rsid w:val="00971BC5"/>
    <w:rsid w:val="00975960"/>
    <w:rsid w:val="009A7893"/>
    <w:rsid w:val="009C6404"/>
    <w:rsid w:val="009D52E9"/>
    <w:rsid w:val="00A34229"/>
    <w:rsid w:val="00A34FCF"/>
    <w:rsid w:val="00A42258"/>
    <w:rsid w:val="00A458B8"/>
    <w:rsid w:val="00A53D36"/>
    <w:rsid w:val="00A577A5"/>
    <w:rsid w:val="00A6035A"/>
    <w:rsid w:val="00A67683"/>
    <w:rsid w:val="00A73EC9"/>
    <w:rsid w:val="00A753BC"/>
    <w:rsid w:val="00A76413"/>
    <w:rsid w:val="00A863E5"/>
    <w:rsid w:val="00A9646F"/>
    <w:rsid w:val="00AA1B6D"/>
    <w:rsid w:val="00AA286F"/>
    <w:rsid w:val="00AB19F1"/>
    <w:rsid w:val="00AB618A"/>
    <w:rsid w:val="00AC2134"/>
    <w:rsid w:val="00AD007E"/>
    <w:rsid w:val="00AD3DAA"/>
    <w:rsid w:val="00AD6DDC"/>
    <w:rsid w:val="00AE14A0"/>
    <w:rsid w:val="00AE4325"/>
    <w:rsid w:val="00AE4365"/>
    <w:rsid w:val="00B0146A"/>
    <w:rsid w:val="00B12A5F"/>
    <w:rsid w:val="00B14318"/>
    <w:rsid w:val="00B20F0C"/>
    <w:rsid w:val="00B31DE8"/>
    <w:rsid w:val="00B43BFF"/>
    <w:rsid w:val="00B5223C"/>
    <w:rsid w:val="00B61FBC"/>
    <w:rsid w:val="00B62C9A"/>
    <w:rsid w:val="00B70EAA"/>
    <w:rsid w:val="00BA1070"/>
    <w:rsid w:val="00BA2A3B"/>
    <w:rsid w:val="00BA46D5"/>
    <w:rsid w:val="00BC020F"/>
    <w:rsid w:val="00BC16E0"/>
    <w:rsid w:val="00BC24D1"/>
    <w:rsid w:val="00BC45C3"/>
    <w:rsid w:val="00BC5E31"/>
    <w:rsid w:val="00BD1327"/>
    <w:rsid w:val="00BE7780"/>
    <w:rsid w:val="00C00818"/>
    <w:rsid w:val="00C02CC7"/>
    <w:rsid w:val="00C0374F"/>
    <w:rsid w:val="00C06C33"/>
    <w:rsid w:val="00C2151B"/>
    <w:rsid w:val="00C47C5F"/>
    <w:rsid w:val="00C51B66"/>
    <w:rsid w:val="00C62F82"/>
    <w:rsid w:val="00C72234"/>
    <w:rsid w:val="00C93F76"/>
    <w:rsid w:val="00CB703A"/>
    <w:rsid w:val="00CC3AF2"/>
    <w:rsid w:val="00D1142B"/>
    <w:rsid w:val="00D136BE"/>
    <w:rsid w:val="00D15164"/>
    <w:rsid w:val="00D15F4C"/>
    <w:rsid w:val="00D204FF"/>
    <w:rsid w:val="00D34544"/>
    <w:rsid w:val="00D64325"/>
    <w:rsid w:val="00D91031"/>
    <w:rsid w:val="00DB2A71"/>
    <w:rsid w:val="00DB4C1E"/>
    <w:rsid w:val="00DC5A37"/>
    <w:rsid w:val="00DC7A87"/>
    <w:rsid w:val="00DD1447"/>
    <w:rsid w:val="00DE752B"/>
    <w:rsid w:val="00DF5452"/>
    <w:rsid w:val="00E026FF"/>
    <w:rsid w:val="00E03728"/>
    <w:rsid w:val="00E14024"/>
    <w:rsid w:val="00E16636"/>
    <w:rsid w:val="00E26AA0"/>
    <w:rsid w:val="00E43DE1"/>
    <w:rsid w:val="00E461AD"/>
    <w:rsid w:val="00E8314C"/>
    <w:rsid w:val="00E861F9"/>
    <w:rsid w:val="00E87BA7"/>
    <w:rsid w:val="00EB7730"/>
    <w:rsid w:val="00EE3E9F"/>
    <w:rsid w:val="00EF1CD6"/>
    <w:rsid w:val="00EF3A79"/>
    <w:rsid w:val="00EF3CBF"/>
    <w:rsid w:val="00F04295"/>
    <w:rsid w:val="00F0551A"/>
    <w:rsid w:val="00F079AE"/>
    <w:rsid w:val="00F124F0"/>
    <w:rsid w:val="00F27517"/>
    <w:rsid w:val="00F419B2"/>
    <w:rsid w:val="00F46680"/>
    <w:rsid w:val="00F745C2"/>
    <w:rsid w:val="00F90B43"/>
    <w:rsid w:val="00FD3003"/>
    <w:rsid w:val="00FE47CE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1229"/>
  <w15:chartTrackingRefBased/>
  <w15:docId w15:val="{89304924-4C37-8344-B4D8-256C4F41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B77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B7730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e">
    <w:name w:val="Revision"/>
    <w:hidden/>
    <w:uiPriority w:val="99"/>
    <w:semiHidden/>
    <w:rsid w:val="00CB703A"/>
  </w:style>
  <w:style w:type="character" w:styleId="Rimandocommento">
    <w:name w:val="annotation reference"/>
    <w:basedOn w:val="Carpredefinitoparagrafo"/>
    <w:uiPriority w:val="99"/>
    <w:semiHidden/>
    <w:unhideWhenUsed/>
    <w:rsid w:val="004D31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D31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D31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31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31AE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474C94"/>
    <w:rPr>
      <w:rFonts w:ascii="Calibri" w:hAnsi="Calibri" w:cs="Calibri"/>
      <w:sz w:val="22"/>
      <w:szCs w:val="22"/>
      <w:lang w:eastAsia="it-IT"/>
    </w:rPr>
  </w:style>
  <w:style w:type="character" w:customStyle="1" w:styleId="xbumpedfont15">
    <w:name w:val="x_bumpedfont15"/>
    <w:basedOn w:val="Carpredefinitoparagrafo"/>
    <w:rsid w:val="00474C94"/>
  </w:style>
  <w:style w:type="character" w:customStyle="1" w:styleId="xapple-converted-space">
    <w:name w:val="x_apple-converted-space"/>
    <w:basedOn w:val="Carpredefinitoparagrafo"/>
    <w:rsid w:val="0047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7301F-E05E-4026-BBB1-9A5A727E7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c3b3b-9bbd-46c9-9221-e8c382a468b2"/>
    <ds:schemaRef ds:uri="7275d7af-1f33-4e78-b3ce-950b61ab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2E622-4A26-4F62-9546-79A9CB27D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Maredi</dc:creator>
  <cp:keywords/>
  <dc:description/>
  <cp:lastModifiedBy>Roberta Busatto</cp:lastModifiedBy>
  <cp:revision>12</cp:revision>
  <dcterms:created xsi:type="dcterms:W3CDTF">2023-06-27T16:46:00Z</dcterms:created>
  <dcterms:modified xsi:type="dcterms:W3CDTF">2023-06-28T08:53:00Z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0d2245-b6e8-41da-a1e0-cc18ec650ca2_Enabled">
    <vt:lpwstr>true</vt:lpwstr>
  </property>
  <property fmtid="{D5CDD505-2E9C-101B-9397-08002B2CF9AE}" pid="3" name="MSIP_Label_ce0d2245-b6e8-41da-a1e0-cc18ec650ca2_SetDate">
    <vt:lpwstr>2023-01-19T08:10:01Z</vt:lpwstr>
  </property>
  <property fmtid="{D5CDD505-2E9C-101B-9397-08002B2CF9AE}" pid="4" name="MSIP_Label_ce0d2245-b6e8-41da-a1e0-cc18ec650ca2_Method">
    <vt:lpwstr>Standard</vt:lpwstr>
  </property>
  <property fmtid="{D5CDD505-2E9C-101B-9397-08002B2CF9AE}" pid="5" name="MSIP_Label_ce0d2245-b6e8-41da-a1e0-cc18ec650ca2_Name">
    <vt:lpwstr>General</vt:lpwstr>
  </property>
  <property fmtid="{D5CDD505-2E9C-101B-9397-08002B2CF9AE}" pid="6" name="MSIP_Label_ce0d2245-b6e8-41da-a1e0-cc18ec650ca2_SiteId">
    <vt:lpwstr>77a5f620-9d77-47db-a0cd-64c70948d532</vt:lpwstr>
  </property>
  <property fmtid="{D5CDD505-2E9C-101B-9397-08002B2CF9AE}" pid="7" name="MSIP_Label_ce0d2245-b6e8-41da-a1e0-cc18ec650ca2_ActionId">
    <vt:lpwstr>2144d7f8-bbda-4245-b3d2-0f15e9a286c0</vt:lpwstr>
  </property>
  <property fmtid="{D5CDD505-2E9C-101B-9397-08002B2CF9AE}" pid="8" name="MSIP_Label_ce0d2245-b6e8-41da-a1e0-cc18ec650ca2_ContentBits">
    <vt:lpwstr>0</vt:lpwstr>
  </property>
</Properties>
</file>