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5884" w14:textId="77777777" w:rsidR="00046B97" w:rsidRPr="00046B97" w:rsidRDefault="00046B97" w:rsidP="00046B97">
      <w:pPr>
        <w:jc w:val="center"/>
        <w:textAlignment w:val="baseline"/>
        <w:rPr>
          <w:rFonts w:ascii="Aptos" w:eastAsia="Times New Roman" w:hAnsi="Aptos" w:cs="Segoe UI"/>
          <w:b/>
          <w:bCs/>
          <w:color w:val="000000"/>
          <w:sz w:val="24"/>
          <w:szCs w:val="24"/>
        </w:rPr>
      </w:pPr>
      <w:bookmarkStart w:id="0" w:name="_Hlk70603986"/>
      <w:r w:rsidRPr="00046B97">
        <w:rPr>
          <w:rFonts w:ascii="Aptos" w:eastAsia="Times New Roman" w:hAnsi="Aptos" w:cs="Segoe UI"/>
          <w:b/>
          <w:bCs/>
          <w:color w:val="000000"/>
          <w:sz w:val="24"/>
          <w:szCs w:val="24"/>
        </w:rPr>
        <w:t>Comunicato stampa del 19 settembre 2023</w:t>
      </w:r>
    </w:p>
    <w:p w14:paraId="3006BEF5" w14:textId="77777777" w:rsidR="00046B97" w:rsidRPr="00046B97" w:rsidRDefault="00046B97" w:rsidP="00046B97">
      <w:pPr>
        <w:jc w:val="center"/>
        <w:textAlignment w:val="baseline"/>
        <w:rPr>
          <w:rFonts w:ascii="Aptos" w:eastAsia="Times New Roman" w:hAnsi="Aptos" w:cs="Segoe UI"/>
          <w:color w:val="000000"/>
          <w:sz w:val="24"/>
          <w:szCs w:val="24"/>
        </w:rPr>
      </w:pPr>
    </w:p>
    <w:p w14:paraId="0DD8925A" w14:textId="77777777" w:rsidR="00046B97" w:rsidRPr="00046B97" w:rsidRDefault="00046B97" w:rsidP="00046B97">
      <w:pPr>
        <w:jc w:val="center"/>
        <w:textAlignment w:val="baseline"/>
        <w:rPr>
          <w:rFonts w:ascii="Aptos" w:eastAsia="Times New Roman" w:hAnsi="Aptos" w:cs="Segoe UI"/>
          <w:b/>
          <w:bCs/>
          <w:color w:val="000000"/>
          <w:sz w:val="24"/>
          <w:szCs w:val="24"/>
        </w:rPr>
      </w:pPr>
      <w:r w:rsidRPr="00046B97">
        <w:rPr>
          <w:rFonts w:ascii="Aptos" w:eastAsia="Times New Roman" w:hAnsi="Aptos" w:cs="Segoe UI"/>
          <w:b/>
          <w:bCs/>
          <w:color w:val="000000"/>
          <w:sz w:val="24"/>
          <w:szCs w:val="24"/>
        </w:rPr>
        <w:t>La direttiva ETS avrà effetti gravi sul sistema portuale italiano</w:t>
      </w:r>
    </w:p>
    <w:p w14:paraId="487335E6" w14:textId="77777777" w:rsidR="00046B97" w:rsidRPr="00046B97" w:rsidRDefault="00046B97" w:rsidP="00046B97">
      <w:pPr>
        <w:jc w:val="center"/>
        <w:textAlignment w:val="baseline"/>
        <w:rPr>
          <w:rFonts w:ascii="Aptos" w:eastAsia="Times New Roman" w:hAnsi="Aptos" w:cs="Segoe UI"/>
          <w:b/>
          <w:bCs/>
          <w:color w:val="000000"/>
          <w:sz w:val="24"/>
          <w:szCs w:val="24"/>
        </w:rPr>
      </w:pPr>
      <w:proofErr w:type="spellStart"/>
      <w:r w:rsidRPr="00046B97">
        <w:rPr>
          <w:rFonts w:ascii="Aptos" w:eastAsia="Times New Roman" w:hAnsi="Aptos" w:cs="Segoe UI"/>
          <w:b/>
          <w:bCs/>
          <w:color w:val="000000"/>
          <w:sz w:val="24"/>
          <w:szCs w:val="24"/>
        </w:rPr>
        <w:t>Assoporti</w:t>
      </w:r>
      <w:proofErr w:type="spellEnd"/>
      <w:r w:rsidRPr="00046B97">
        <w:rPr>
          <w:rFonts w:ascii="Aptos" w:eastAsia="Times New Roman" w:hAnsi="Aptos" w:cs="Segoe UI"/>
          <w:b/>
          <w:bCs/>
          <w:color w:val="000000"/>
          <w:sz w:val="24"/>
          <w:szCs w:val="24"/>
        </w:rPr>
        <w:t xml:space="preserve"> interviene evidenziando la necessità di agire presto per evitare danni al settore portuale</w:t>
      </w:r>
    </w:p>
    <w:p w14:paraId="06E7A308" w14:textId="77777777" w:rsidR="00046B97" w:rsidRPr="00046B97" w:rsidRDefault="00046B97" w:rsidP="00046B97">
      <w:pPr>
        <w:jc w:val="center"/>
        <w:textAlignment w:val="baseline"/>
        <w:rPr>
          <w:rFonts w:ascii="Aptos" w:eastAsia="Times New Roman" w:hAnsi="Aptos" w:cs="Segoe UI"/>
          <w:color w:val="000000"/>
          <w:sz w:val="24"/>
          <w:szCs w:val="24"/>
        </w:rPr>
      </w:pPr>
    </w:p>
    <w:p w14:paraId="7F6621A6" w14:textId="77777777" w:rsidR="00046B97" w:rsidRPr="00046B97" w:rsidRDefault="00046B97" w:rsidP="00046B97">
      <w:pPr>
        <w:jc w:val="center"/>
        <w:textAlignment w:val="baseline"/>
        <w:rPr>
          <w:rFonts w:ascii="Aptos" w:eastAsia="Times New Roman" w:hAnsi="Aptos" w:cs="Segoe UI"/>
          <w:color w:val="000000"/>
          <w:sz w:val="24"/>
          <w:szCs w:val="24"/>
        </w:rPr>
      </w:pPr>
    </w:p>
    <w:p w14:paraId="0C25E2E8" w14:textId="0B4853D7" w:rsidR="00046B97" w:rsidRPr="00046B97" w:rsidRDefault="002444B1" w:rsidP="00046B97">
      <w:pPr>
        <w:textAlignment w:val="baseline"/>
        <w:rPr>
          <w:rFonts w:ascii="Aptos" w:eastAsia="Times New Roman" w:hAnsi="Aptos" w:cs="Segoe UI"/>
          <w:color w:val="000000"/>
          <w:sz w:val="24"/>
          <w:szCs w:val="24"/>
        </w:rPr>
      </w:pPr>
      <w:r w:rsidRPr="00046B97">
        <w:rPr>
          <w:rFonts w:ascii="Aptos" w:eastAsia="Times New Roman" w:hAnsi="Aptos" w:cs="Segoe UI"/>
          <w:i/>
          <w:iCs/>
          <w:color w:val="000000"/>
          <w:sz w:val="24"/>
          <w:szCs w:val="24"/>
        </w:rPr>
        <w:t>Roma</w:t>
      </w:r>
      <w:r>
        <w:rPr>
          <w:rFonts w:ascii="Aptos" w:eastAsia="Times New Roman" w:hAnsi="Aptos" w:cs="Segoe UI"/>
          <w:i/>
          <w:iCs/>
          <w:color w:val="000000"/>
          <w:sz w:val="24"/>
          <w:szCs w:val="24"/>
        </w:rPr>
        <w:t xml:space="preserve">: </w:t>
      </w:r>
      <w:r w:rsidRPr="00046B97">
        <w:rPr>
          <w:rFonts w:ascii="Aptos" w:eastAsia="Times New Roman" w:hAnsi="Aptos" w:cs="Segoe UI"/>
          <w:i/>
          <w:iCs/>
          <w:color w:val="000000"/>
          <w:sz w:val="24"/>
          <w:szCs w:val="24"/>
        </w:rPr>
        <w:t>“</w:t>
      </w:r>
      <w:r w:rsidR="00046B97" w:rsidRPr="002444B1">
        <w:rPr>
          <w:rFonts w:ascii="Aptos" w:eastAsia="Times New Roman" w:hAnsi="Aptos" w:cs="Segoe UI"/>
          <w:color w:val="000000"/>
          <w:sz w:val="24"/>
          <w:szCs w:val="24"/>
        </w:rPr>
        <w:t xml:space="preserve">È </w:t>
      </w:r>
      <w:r w:rsidR="00046B97" w:rsidRPr="00046B97">
        <w:rPr>
          <w:rFonts w:ascii="Aptos" w:eastAsia="Times New Roman" w:hAnsi="Aptos" w:cs="Segoe UI"/>
          <w:color w:val="000000"/>
          <w:sz w:val="24"/>
          <w:szCs w:val="24"/>
        </w:rPr>
        <w:t>di tutta evidenza che l'obiettivo di riduzioni delle emissioni è pienamente condivisibile da parte del nostro settore. Tuttavia, occorre garantire che tutti giochino la partita sullo stesso piano - quello che in inglese viene chiamato "</w:t>
      </w:r>
      <w:proofErr w:type="spellStart"/>
      <w:r w:rsidR="00046B97" w:rsidRPr="00046B97">
        <w:rPr>
          <w:rFonts w:ascii="Aptos" w:eastAsia="Times New Roman" w:hAnsi="Aptos" w:cs="Segoe UI"/>
          <w:color w:val="000000"/>
          <w:sz w:val="24"/>
          <w:szCs w:val="24"/>
        </w:rPr>
        <w:t>level</w:t>
      </w:r>
      <w:proofErr w:type="spellEnd"/>
      <w:r w:rsidR="00046B97" w:rsidRPr="00046B97">
        <w:rPr>
          <w:rFonts w:ascii="Aptos" w:eastAsia="Times New Roman" w:hAnsi="Aptos" w:cs="Segoe UI"/>
          <w:color w:val="000000"/>
          <w:sz w:val="24"/>
          <w:szCs w:val="24"/>
        </w:rPr>
        <w:t xml:space="preserve"> playing field" - principio cardine per l'Unione Europea. In questo contesto, è impensabile che la tassa prevista per le navi dalla Direttiva ETS (destinata ad integrare il Fondo di </w:t>
      </w:r>
      <w:r w:rsidR="00046B97" w:rsidRPr="002444B1">
        <w:rPr>
          <w:rFonts w:ascii="Aptos" w:eastAsia="Times New Roman" w:hAnsi="Aptos" w:cs="Segoe UI"/>
          <w:color w:val="000000"/>
          <w:sz w:val="24"/>
          <w:szCs w:val="24"/>
        </w:rPr>
        <w:t>Coesione) venga</w:t>
      </w:r>
      <w:r w:rsidR="00046B97" w:rsidRPr="00046B97">
        <w:rPr>
          <w:rFonts w:ascii="Aptos" w:eastAsia="Times New Roman" w:hAnsi="Aptos" w:cs="Segoe UI"/>
          <w:color w:val="000000"/>
          <w:sz w:val="24"/>
          <w:szCs w:val="24"/>
        </w:rPr>
        <w:t xml:space="preserve"> conteggiata per i paesi UE al 100%, per quelli extra UE al 50% e addirittura a zero per le navi, che pur attraversando il Mediterraneo, non sostano in porti dell'UE.  Così si rischia un crollo dei traffici, in particolare negli Hub di transhipment, a cominciare da Gioia Tauro, ma non solo. Teniamo presente che, </w:t>
      </w:r>
      <w:r w:rsidR="00046B97" w:rsidRPr="002444B1">
        <w:rPr>
          <w:rFonts w:ascii="Aptos" w:eastAsia="Times New Roman" w:hAnsi="Aptos" w:cs="Segoe UI"/>
          <w:color w:val="000000"/>
          <w:sz w:val="24"/>
          <w:szCs w:val="24"/>
        </w:rPr>
        <w:t>allo stesso tempo, il</w:t>
      </w:r>
      <w:r w:rsidR="00046B97" w:rsidRPr="00046B97">
        <w:rPr>
          <w:rFonts w:ascii="Aptos" w:eastAsia="Times New Roman" w:hAnsi="Aptos" w:cs="Segoe UI"/>
          <w:color w:val="000000"/>
          <w:sz w:val="24"/>
          <w:szCs w:val="24"/>
        </w:rPr>
        <w:t xml:space="preserve"> traffico portuale sta iniziando a subire gli effetti di una contrazione dei consumi dovuta all'inflazione, " ha dichiarato il Presidente di </w:t>
      </w:r>
      <w:proofErr w:type="spellStart"/>
      <w:r w:rsidR="00046B97" w:rsidRPr="00046B97">
        <w:rPr>
          <w:rFonts w:ascii="Aptos" w:eastAsia="Times New Roman" w:hAnsi="Aptos" w:cs="Segoe UI"/>
          <w:color w:val="000000"/>
          <w:sz w:val="24"/>
          <w:szCs w:val="24"/>
        </w:rPr>
        <w:t>Assoporti</w:t>
      </w:r>
      <w:proofErr w:type="spellEnd"/>
      <w:r w:rsidR="00046B97" w:rsidRPr="00046B97">
        <w:rPr>
          <w:rFonts w:ascii="Aptos" w:eastAsia="Times New Roman" w:hAnsi="Aptos" w:cs="Segoe UI"/>
          <w:color w:val="000000"/>
          <w:sz w:val="24"/>
          <w:szCs w:val="24"/>
        </w:rPr>
        <w:t>, Rodolfo Giampieri, riferendosi alla Direttiva EU-ETS (</w:t>
      </w:r>
      <w:proofErr w:type="spellStart"/>
      <w:r w:rsidR="00046B97" w:rsidRPr="00046B97">
        <w:rPr>
          <w:rFonts w:ascii="Aptos" w:eastAsia="Times New Roman" w:hAnsi="Aptos" w:cs="Segoe UI"/>
          <w:color w:val="000000"/>
          <w:sz w:val="24"/>
          <w:szCs w:val="24"/>
        </w:rPr>
        <w:t>European</w:t>
      </w:r>
      <w:proofErr w:type="spellEnd"/>
      <w:r w:rsidR="00046B97" w:rsidRPr="00046B97">
        <w:rPr>
          <w:rFonts w:ascii="Aptos" w:eastAsia="Times New Roman" w:hAnsi="Aptos" w:cs="Segoe UI"/>
          <w:color w:val="000000"/>
          <w:sz w:val="24"/>
          <w:szCs w:val="24"/>
        </w:rPr>
        <w:t xml:space="preserve"> </w:t>
      </w:r>
      <w:proofErr w:type="spellStart"/>
      <w:r w:rsidR="00046B97" w:rsidRPr="00046B97">
        <w:rPr>
          <w:rFonts w:ascii="Aptos" w:eastAsia="Times New Roman" w:hAnsi="Aptos" w:cs="Segoe UI"/>
          <w:color w:val="000000"/>
          <w:sz w:val="24"/>
          <w:szCs w:val="24"/>
        </w:rPr>
        <w:t>Emission</w:t>
      </w:r>
      <w:proofErr w:type="spellEnd"/>
      <w:r w:rsidR="00046B97" w:rsidRPr="00046B97">
        <w:rPr>
          <w:rFonts w:ascii="Aptos" w:eastAsia="Times New Roman" w:hAnsi="Aptos" w:cs="Segoe UI"/>
          <w:color w:val="000000"/>
          <w:sz w:val="24"/>
          <w:szCs w:val="24"/>
        </w:rPr>
        <w:t xml:space="preserve"> Trading </w:t>
      </w:r>
      <w:proofErr w:type="spellStart"/>
      <w:r w:rsidR="00046B97" w:rsidRPr="00046B97">
        <w:rPr>
          <w:rFonts w:ascii="Aptos" w:eastAsia="Times New Roman" w:hAnsi="Aptos" w:cs="Segoe UI"/>
          <w:color w:val="000000"/>
          <w:sz w:val="24"/>
          <w:szCs w:val="24"/>
        </w:rPr>
        <w:t>Scheme</w:t>
      </w:r>
      <w:proofErr w:type="spellEnd"/>
      <w:r w:rsidR="00046B97" w:rsidRPr="00046B97">
        <w:rPr>
          <w:rFonts w:ascii="Aptos" w:eastAsia="Times New Roman" w:hAnsi="Aptos" w:cs="Segoe UI"/>
          <w:color w:val="000000"/>
          <w:sz w:val="24"/>
          <w:szCs w:val="24"/>
        </w:rPr>
        <w:t>). </w:t>
      </w:r>
    </w:p>
    <w:p w14:paraId="247E8CAA" w14:textId="77777777" w:rsidR="00046B97" w:rsidRPr="00046B97" w:rsidRDefault="00046B97" w:rsidP="00046B97">
      <w:pPr>
        <w:textAlignment w:val="baseline"/>
        <w:rPr>
          <w:rFonts w:ascii="Aptos" w:eastAsia="Times New Roman" w:hAnsi="Aptos" w:cs="Segoe UI"/>
          <w:color w:val="000000"/>
          <w:sz w:val="24"/>
          <w:szCs w:val="24"/>
        </w:rPr>
      </w:pPr>
    </w:p>
    <w:p w14:paraId="25E719F2" w14:textId="77777777" w:rsidR="00046B97" w:rsidRPr="00046B97" w:rsidRDefault="00046B97" w:rsidP="00046B97">
      <w:pPr>
        <w:textAlignment w:val="baseline"/>
        <w:rPr>
          <w:rFonts w:ascii="Aptos" w:eastAsia="Times New Roman" w:hAnsi="Aptos" w:cs="Segoe UI"/>
          <w:color w:val="000000"/>
          <w:sz w:val="24"/>
          <w:szCs w:val="24"/>
        </w:rPr>
      </w:pPr>
      <w:r w:rsidRPr="00046B97">
        <w:rPr>
          <w:rFonts w:ascii="Aptos" w:eastAsia="Times New Roman" w:hAnsi="Aptos" w:cs="Segoe UI"/>
          <w:color w:val="000000"/>
          <w:sz w:val="24"/>
          <w:szCs w:val="24"/>
        </w:rPr>
        <w:t>Una Direttiva sulla riduzione delle emissioni che ha incluso il trasporto marittimo con provvedimento dello scorso maggio, e che dovrà essere recepito dagli Stati Membri entro fine anno. Gli effetti derivanti dalle norme in questione in termini di incremento dei costi rischiano di avere come conseguenza lo spostamento dei traffici verso aree che non sono soggette alla stessa direttiva, creando, di fatto, una distorsione della concorrenza con un impatto molto negativo sui porti italiani. </w:t>
      </w:r>
    </w:p>
    <w:p w14:paraId="2DDB17A1" w14:textId="77777777" w:rsidR="00046B97" w:rsidRPr="00046B97" w:rsidRDefault="00046B97" w:rsidP="00046B97">
      <w:pPr>
        <w:textAlignment w:val="baseline"/>
        <w:rPr>
          <w:rFonts w:ascii="Aptos" w:eastAsia="Times New Roman" w:hAnsi="Aptos" w:cs="Segoe UI"/>
          <w:color w:val="000000"/>
          <w:sz w:val="24"/>
          <w:szCs w:val="24"/>
        </w:rPr>
      </w:pPr>
    </w:p>
    <w:p w14:paraId="4926569A" w14:textId="533E719C" w:rsidR="00046B97" w:rsidRPr="00046B97" w:rsidRDefault="00046B97" w:rsidP="00046B97">
      <w:pPr>
        <w:textAlignment w:val="baseline"/>
        <w:rPr>
          <w:rFonts w:ascii="Aptos" w:eastAsia="Times New Roman" w:hAnsi="Aptos" w:cs="Segoe UI"/>
          <w:color w:val="000000"/>
          <w:sz w:val="24"/>
          <w:szCs w:val="24"/>
        </w:rPr>
      </w:pPr>
      <w:r w:rsidRPr="00046B97">
        <w:rPr>
          <w:rFonts w:ascii="inherit" w:eastAsia="Times New Roman" w:hAnsi="inherit" w:cs="Segoe UI"/>
          <w:color w:val="000000"/>
          <w:sz w:val="24"/>
          <w:szCs w:val="24"/>
          <w:bdr w:val="none" w:sz="0" w:space="0" w:color="auto" w:frame="1"/>
          <w:shd w:val="clear" w:color="auto" w:fill="FFFFFF"/>
        </w:rPr>
        <w:t xml:space="preserve">Per tale motivo, </w:t>
      </w:r>
      <w:proofErr w:type="spellStart"/>
      <w:r w:rsidRPr="00046B97">
        <w:rPr>
          <w:rFonts w:ascii="inherit" w:eastAsia="Times New Roman" w:hAnsi="inherit" w:cs="Segoe UI"/>
          <w:color w:val="000000"/>
          <w:sz w:val="24"/>
          <w:szCs w:val="24"/>
          <w:bdr w:val="none" w:sz="0" w:space="0" w:color="auto" w:frame="1"/>
          <w:shd w:val="clear" w:color="auto" w:fill="FFFFFF"/>
        </w:rPr>
        <w:t>Assoporti</w:t>
      </w:r>
      <w:proofErr w:type="spellEnd"/>
      <w:r w:rsidRPr="00046B97">
        <w:rPr>
          <w:rFonts w:ascii="inherit" w:eastAsia="Times New Roman" w:hAnsi="inherit" w:cs="Segoe UI"/>
          <w:color w:val="000000"/>
          <w:sz w:val="24"/>
          <w:szCs w:val="24"/>
          <w:bdr w:val="none" w:sz="0" w:space="0" w:color="auto" w:frame="1"/>
          <w:shd w:val="clear" w:color="auto" w:fill="FFFFFF"/>
        </w:rPr>
        <w:t xml:space="preserve"> ha inviato una formale nota argomentata e approfondita di richiesta alla Commissione Europea che mira </w:t>
      </w:r>
      <w:r w:rsidR="002444B1" w:rsidRPr="002444B1">
        <w:rPr>
          <w:rFonts w:ascii="inherit" w:eastAsia="Times New Roman" w:hAnsi="inherit" w:cs="Segoe UI"/>
          <w:color w:val="000000"/>
          <w:sz w:val="24"/>
          <w:szCs w:val="24"/>
          <w:bdr w:val="none" w:sz="0" w:space="0" w:color="auto" w:frame="1"/>
          <w:shd w:val="clear" w:color="auto" w:fill="FFFFFF"/>
        </w:rPr>
        <w:t>a:</w:t>
      </w:r>
    </w:p>
    <w:p w14:paraId="5ED526FD" w14:textId="77777777" w:rsidR="00046B97" w:rsidRPr="00046B97" w:rsidRDefault="00046B97" w:rsidP="00046B97">
      <w:pPr>
        <w:numPr>
          <w:ilvl w:val="0"/>
          <w:numId w:val="2"/>
        </w:numPr>
        <w:spacing w:beforeAutospacing="1" w:afterAutospacing="1"/>
        <w:ind w:left="2160"/>
        <w:textAlignment w:val="baseline"/>
        <w:rPr>
          <w:rFonts w:ascii="Aptos" w:eastAsia="Times New Roman" w:hAnsi="Aptos" w:cs="Segoe UI"/>
          <w:color w:val="000000"/>
          <w:sz w:val="24"/>
          <w:szCs w:val="24"/>
        </w:rPr>
      </w:pPr>
      <w:r w:rsidRPr="00046B97">
        <w:rPr>
          <w:rFonts w:ascii="inherit" w:eastAsia="Times New Roman" w:hAnsi="inherit" w:cs="Segoe UI"/>
          <w:color w:val="000000"/>
          <w:sz w:val="24"/>
          <w:szCs w:val="24"/>
          <w:bdr w:val="none" w:sz="0" w:space="0" w:color="auto" w:frame="1"/>
          <w:shd w:val="clear" w:color="auto" w:fill="FFFFFF"/>
        </w:rPr>
        <w:t>sospenderne l'applicazione al trasporto marittimo delle merci, in particolare agli Hub europei di contenitori;</w:t>
      </w:r>
    </w:p>
    <w:p w14:paraId="324597F8" w14:textId="77777777" w:rsidR="00046B97" w:rsidRPr="00046B97" w:rsidRDefault="00046B97" w:rsidP="00046B97">
      <w:pPr>
        <w:numPr>
          <w:ilvl w:val="0"/>
          <w:numId w:val="2"/>
        </w:numPr>
        <w:spacing w:beforeAutospacing="1" w:afterAutospacing="1"/>
        <w:ind w:left="2160"/>
        <w:textAlignment w:val="baseline"/>
        <w:rPr>
          <w:rFonts w:ascii="Aptos" w:eastAsia="Times New Roman" w:hAnsi="Aptos" w:cs="Segoe UI"/>
          <w:color w:val="000000"/>
          <w:sz w:val="24"/>
          <w:szCs w:val="24"/>
        </w:rPr>
      </w:pPr>
      <w:r w:rsidRPr="00046B97">
        <w:rPr>
          <w:rFonts w:ascii="inherit" w:eastAsia="Times New Roman" w:hAnsi="inherit" w:cs="Segoe UI"/>
          <w:color w:val="000000"/>
          <w:sz w:val="24"/>
          <w:szCs w:val="24"/>
          <w:bdr w:val="none" w:sz="0" w:space="0" w:color="auto" w:frame="1"/>
          <w:shd w:val="clear" w:color="auto" w:fill="FFFFFF"/>
        </w:rPr>
        <w:t>rendere il costo marittimo presso gli Hub europei (partenza/arrivo) pari a quelli che si registrerebbero per un trasbordo nei porti extra UE;</w:t>
      </w:r>
    </w:p>
    <w:p w14:paraId="32E3D9B0" w14:textId="77777777" w:rsidR="00046B97" w:rsidRPr="00046B97" w:rsidRDefault="00046B97" w:rsidP="00046B97">
      <w:pPr>
        <w:numPr>
          <w:ilvl w:val="0"/>
          <w:numId w:val="2"/>
        </w:numPr>
        <w:spacing w:beforeAutospacing="1" w:afterAutospacing="1"/>
        <w:ind w:left="2160"/>
        <w:textAlignment w:val="baseline"/>
        <w:rPr>
          <w:rFonts w:ascii="Aptos" w:eastAsia="Times New Roman" w:hAnsi="Aptos" w:cs="Segoe UI"/>
          <w:color w:val="000000"/>
          <w:sz w:val="24"/>
          <w:szCs w:val="24"/>
        </w:rPr>
      </w:pPr>
      <w:r w:rsidRPr="00046B97">
        <w:rPr>
          <w:rFonts w:ascii="inherit" w:eastAsia="Times New Roman" w:hAnsi="inherit" w:cs="Segoe UI"/>
          <w:color w:val="000000"/>
          <w:sz w:val="24"/>
          <w:szCs w:val="24"/>
          <w:bdr w:val="none" w:sz="0" w:space="0" w:color="auto" w:frame="1"/>
          <w:shd w:val="clear" w:color="auto" w:fill="FFFFFF"/>
        </w:rPr>
        <w:t>accelerare l'analisi prevista dalla Commissione che riguarda una revisione delle Direttiva prima che i processi di trasferimento delle linee marittime diventano potenzialmente irreversibili.</w:t>
      </w:r>
    </w:p>
    <w:p w14:paraId="6A23118C" w14:textId="42311CDA" w:rsidR="00046B97" w:rsidRPr="00046B97" w:rsidRDefault="00046B97" w:rsidP="00046B97">
      <w:pPr>
        <w:textAlignment w:val="baseline"/>
        <w:rPr>
          <w:rFonts w:ascii="inherit" w:eastAsia="Times New Roman" w:hAnsi="inherit" w:cs="Segoe UI"/>
          <w:color w:val="000000"/>
          <w:sz w:val="24"/>
          <w:szCs w:val="24"/>
        </w:rPr>
      </w:pPr>
      <w:r w:rsidRPr="00046B97">
        <w:rPr>
          <w:rFonts w:ascii="inherit" w:eastAsia="Times New Roman" w:hAnsi="inherit" w:cs="Segoe UI"/>
          <w:color w:val="000000"/>
          <w:sz w:val="24"/>
          <w:szCs w:val="24"/>
        </w:rPr>
        <w:t xml:space="preserve">"Parlare della portualità significa parlare di economia reale, cioè di persone, di imprese, di occupazione, di investimenti, di attrezzature e così via, " ha proseguito Giampieri, "e </w:t>
      </w:r>
      <w:r w:rsidRPr="00046B97">
        <w:rPr>
          <w:rFonts w:ascii="inherit" w:eastAsia="Times New Roman" w:hAnsi="inherit" w:cs="Segoe UI"/>
          <w:color w:val="000000"/>
          <w:sz w:val="24"/>
          <w:szCs w:val="24"/>
        </w:rPr>
        <w:lastRenderedPageBreak/>
        <w:t xml:space="preserve">dobbiamo preservare il </w:t>
      </w:r>
      <w:r w:rsidRPr="002444B1">
        <w:rPr>
          <w:rFonts w:ascii="inherit" w:eastAsia="Times New Roman" w:hAnsi="inherit" w:cs="Segoe UI"/>
          <w:color w:val="000000"/>
          <w:sz w:val="24"/>
          <w:szCs w:val="24"/>
        </w:rPr>
        <w:t>valore economico</w:t>
      </w:r>
      <w:r w:rsidRPr="00046B97">
        <w:rPr>
          <w:rFonts w:ascii="inherit" w:eastAsia="Times New Roman" w:hAnsi="inherit" w:cs="Segoe UI"/>
          <w:color w:val="000000"/>
          <w:sz w:val="24"/>
          <w:szCs w:val="24"/>
        </w:rPr>
        <w:t xml:space="preserve"> e sociale che tutto questo </w:t>
      </w:r>
      <w:r w:rsidRPr="002444B1">
        <w:rPr>
          <w:rFonts w:ascii="inherit" w:eastAsia="Times New Roman" w:hAnsi="inherit" w:cs="Segoe UI"/>
          <w:color w:val="000000"/>
          <w:sz w:val="24"/>
          <w:szCs w:val="24"/>
        </w:rPr>
        <w:t>significa, intervenendo</w:t>
      </w:r>
      <w:r w:rsidRPr="00046B97">
        <w:rPr>
          <w:rFonts w:ascii="inherit" w:eastAsia="Times New Roman" w:hAnsi="inherit" w:cs="Segoe UI"/>
          <w:color w:val="000000"/>
          <w:sz w:val="24"/>
          <w:szCs w:val="24"/>
        </w:rPr>
        <w:t xml:space="preserve"> su quelle norme che possono danneggiare questo </w:t>
      </w:r>
      <w:r w:rsidRPr="002444B1">
        <w:rPr>
          <w:rFonts w:ascii="inherit" w:eastAsia="Times New Roman" w:hAnsi="inherit" w:cs="Segoe UI"/>
          <w:color w:val="000000"/>
          <w:sz w:val="24"/>
          <w:szCs w:val="24"/>
        </w:rPr>
        <w:t>ecosistema con</w:t>
      </w:r>
      <w:r w:rsidRPr="00046B97">
        <w:rPr>
          <w:rFonts w:ascii="inherit" w:eastAsia="Times New Roman" w:hAnsi="inherit" w:cs="Segoe UI"/>
          <w:color w:val="000000"/>
          <w:sz w:val="24"/>
          <w:szCs w:val="24"/>
        </w:rPr>
        <w:t xml:space="preserve"> regole non uguali per tutti. Rassicura il fatto </w:t>
      </w:r>
      <w:r w:rsidRPr="002444B1">
        <w:rPr>
          <w:rFonts w:ascii="inherit" w:eastAsia="Times New Roman" w:hAnsi="inherit" w:cs="Segoe UI"/>
          <w:color w:val="000000"/>
          <w:sz w:val="24"/>
          <w:szCs w:val="24"/>
        </w:rPr>
        <w:t>che l’argomento</w:t>
      </w:r>
      <w:r w:rsidRPr="00046B97">
        <w:rPr>
          <w:rFonts w:ascii="inherit" w:eastAsia="Times New Roman" w:hAnsi="inherit" w:cs="Segoe UI"/>
          <w:color w:val="000000"/>
          <w:sz w:val="24"/>
          <w:szCs w:val="24"/>
        </w:rPr>
        <w:t xml:space="preserve"> è all'attenzione sia del Ministro delle Infrastrutture e dei Trasporti </w:t>
      </w:r>
      <w:r w:rsidRPr="002444B1">
        <w:rPr>
          <w:rFonts w:ascii="inherit" w:eastAsia="Times New Roman" w:hAnsi="inherit" w:cs="Segoe UI"/>
          <w:color w:val="000000"/>
          <w:sz w:val="24"/>
          <w:szCs w:val="24"/>
        </w:rPr>
        <w:t>che del</w:t>
      </w:r>
      <w:r w:rsidRPr="00046B97">
        <w:rPr>
          <w:rFonts w:ascii="inherit" w:eastAsia="Times New Roman" w:hAnsi="inherit" w:cs="Segoe UI"/>
          <w:color w:val="000000"/>
          <w:sz w:val="24"/>
          <w:szCs w:val="24"/>
        </w:rPr>
        <w:t xml:space="preserve"> Governo, per essere poi oggetto di discussione nelle sedi preposte. Nel frattempo, come </w:t>
      </w:r>
      <w:proofErr w:type="spellStart"/>
      <w:r w:rsidRPr="00046B97">
        <w:rPr>
          <w:rFonts w:ascii="inherit" w:eastAsia="Times New Roman" w:hAnsi="inherit" w:cs="Segoe UI"/>
          <w:color w:val="000000"/>
          <w:sz w:val="24"/>
          <w:szCs w:val="24"/>
        </w:rPr>
        <w:t>Assoporti</w:t>
      </w:r>
      <w:proofErr w:type="spellEnd"/>
      <w:r w:rsidRPr="00046B97">
        <w:rPr>
          <w:rFonts w:ascii="inherit" w:eastAsia="Times New Roman" w:hAnsi="inherit" w:cs="Segoe UI"/>
          <w:color w:val="000000"/>
          <w:sz w:val="24"/>
          <w:szCs w:val="24"/>
        </w:rPr>
        <w:t>, abbiamo inviato un documento</w:t>
      </w:r>
      <w:r w:rsidR="002444B1" w:rsidRPr="002444B1">
        <w:rPr>
          <w:rFonts w:ascii="inherit" w:eastAsia="Times New Roman" w:hAnsi="inherit" w:cs="Segoe UI"/>
          <w:color w:val="000000"/>
          <w:sz w:val="24"/>
          <w:szCs w:val="24"/>
        </w:rPr>
        <w:t xml:space="preserve"> alla Commissione Europea</w:t>
      </w:r>
      <w:r w:rsidRPr="00046B97">
        <w:rPr>
          <w:rFonts w:ascii="inherit" w:eastAsia="Times New Roman" w:hAnsi="inherit" w:cs="Segoe UI"/>
          <w:color w:val="000000"/>
          <w:sz w:val="24"/>
          <w:szCs w:val="24"/>
        </w:rPr>
        <w:t xml:space="preserve"> che ne analizza nel dettaglio gli effetti. L'auspicio è che si arrivi in brevissimo tempo a sanare le </w:t>
      </w:r>
      <w:r w:rsidRPr="002444B1">
        <w:rPr>
          <w:rFonts w:ascii="inherit" w:eastAsia="Times New Roman" w:hAnsi="inherit" w:cs="Segoe UI"/>
          <w:color w:val="000000"/>
          <w:sz w:val="24"/>
          <w:szCs w:val="24"/>
        </w:rPr>
        <w:t>criticità, in</w:t>
      </w:r>
      <w:r w:rsidRPr="00046B97">
        <w:rPr>
          <w:rFonts w:ascii="inherit" w:eastAsia="Times New Roman" w:hAnsi="inherit" w:cs="Segoe UI"/>
          <w:color w:val="000000"/>
          <w:sz w:val="24"/>
          <w:szCs w:val="24"/>
        </w:rPr>
        <w:t xml:space="preserve"> modo che si possano rivedere alcune parti che mettono la nostra portualità in grave affanno, in una situazione di mercato già di per </w:t>
      </w:r>
      <w:r w:rsidRPr="002444B1">
        <w:rPr>
          <w:rFonts w:ascii="inherit" w:eastAsia="Times New Roman" w:hAnsi="inherit" w:cs="Segoe UI"/>
          <w:color w:val="000000"/>
          <w:sz w:val="24"/>
          <w:szCs w:val="24"/>
        </w:rPr>
        <w:t>sé</w:t>
      </w:r>
      <w:r w:rsidRPr="00046B97">
        <w:rPr>
          <w:rFonts w:ascii="inherit" w:eastAsia="Times New Roman" w:hAnsi="inherit" w:cs="Segoe UI"/>
          <w:color w:val="000000"/>
          <w:sz w:val="24"/>
          <w:szCs w:val="24"/>
        </w:rPr>
        <w:t xml:space="preserve"> molto complicata. Il ruolo sempre più </w:t>
      </w:r>
      <w:r w:rsidRPr="002444B1">
        <w:rPr>
          <w:rFonts w:ascii="inherit" w:eastAsia="Times New Roman" w:hAnsi="inherit" w:cs="Segoe UI"/>
          <w:color w:val="000000"/>
          <w:sz w:val="24"/>
          <w:szCs w:val="24"/>
        </w:rPr>
        <w:t>protagonista</w:t>
      </w:r>
      <w:r w:rsidRPr="00046B97">
        <w:rPr>
          <w:rFonts w:ascii="inherit" w:eastAsia="Times New Roman" w:hAnsi="inherit" w:cs="Segoe UI"/>
          <w:color w:val="000000"/>
          <w:sz w:val="24"/>
          <w:szCs w:val="24"/>
        </w:rPr>
        <w:t xml:space="preserve"> che la portualità italiana si sta ricavando nello scenario globale deve avere come base regole di mercato certe e uguali per tutti, "ha concluso.  </w:t>
      </w:r>
    </w:p>
    <w:p w14:paraId="211C0150" w14:textId="77777777" w:rsidR="0086077B" w:rsidRPr="002444B1" w:rsidRDefault="0086077B" w:rsidP="00041988">
      <w:pPr>
        <w:textAlignment w:val="baseline"/>
        <w:rPr>
          <w:rFonts w:eastAsia="Times New Roman" w:cs="Segoe UI"/>
          <w:color w:val="000000"/>
          <w:sz w:val="28"/>
          <w:szCs w:val="28"/>
          <w:bdr w:val="none" w:sz="0" w:space="0" w:color="auto" w:frame="1"/>
        </w:rPr>
      </w:pPr>
    </w:p>
    <w:p w14:paraId="456B0501" w14:textId="35ABD51A" w:rsidR="00783D4E" w:rsidRDefault="00783D4E" w:rsidP="003556F5">
      <w:pPr>
        <w:textAlignment w:val="baseline"/>
        <w:rPr>
          <w:rFonts w:eastAsia="Times New Roman" w:cs="Segoe UI"/>
          <w:color w:val="000000"/>
          <w:sz w:val="28"/>
          <w:szCs w:val="28"/>
          <w:bdr w:val="none" w:sz="0" w:space="0" w:color="auto" w:frame="1"/>
        </w:rPr>
      </w:pPr>
    </w:p>
    <w:p w14:paraId="17315BAF" w14:textId="5B97074A" w:rsidR="005F2FAD" w:rsidRPr="00C55CBF" w:rsidRDefault="005F2FAD" w:rsidP="003556F5">
      <w:pPr>
        <w:textAlignment w:val="baseline"/>
        <w:rPr>
          <w:rFonts w:eastAsia="Times New Roman" w:cs="Segoe UI"/>
          <w:color w:val="000000"/>
          <w:sz w:val="28"/>
          <w:szCs w:val="28"/>
          <w:bdr w:val="none" w:sz="0" w:space="0" w:color="auto" w:frame="1"/>
        </w:rPr>
      </w:pPr>
    </w:p>
    <w:p w14:paraId="5A4A1462" w14:textId="77777777" w:rsidR="00875429" w:rsidRDefault="00875429">
      <w:pPr>
        <w:pBdr>
          <w:top w:val="nil"/>
          <w:left w:val="nil"/>
          <w:bottom w:val="nil"/>
          <w:right w:val="nil"/>
          <w:between w:val="nil"/>
        </w:pBdr>
        <w:jc w:val="both"/>
        <w:rPr>
          <w:color w:val="000000"/>
          <w:sz w:val="28"/>
          <w:szCs w:val="28"/>
        </w:rPr>
      </w:pPr>
    </w:p>
    <w:bookmarkEnd w:id="0"/>
    <w:p w14:paraId="66FCDC59" w14:textId="77777777" w:rsidR="00875429" w:rsidRDefault="00875429">
      <w:pPr>
        <w:pBdr>
          <w:top w:val="nil"/>
          <w:left w:val="nil"/>
          <w:bottom w:val="nil"/>
          <w:right w:val="nil"/>
          <w:between w:val="nil"/>
        </w:pBdr>
        <w:jc w:val="center"/>
        <w:rPr>
          <w:color w:val="000000"/>
          <w:sz w:val="24"/>
          <w:szCs w:val="24"/>
        </w:rPr>
      </w:pPr>
    </w:p>
    <w:sectPr w:rsidR="00875429">
      <w:footerReference w:type="default" r:id="rId7"/>
      <w:headerReference w:type="first" r:id="rId8"/>
      <w:footerReference w:type="first" r:id="rId9"/>
      <w:pgSz w:w="11906" w:h="16838"/>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196A" w14:textId="77777777" w:rsidR="0051174D" w:rsidRDefault="0051174D">
      <w:r>
        <w:separator/>
      </w:r>
    </w:p>
  </w:endnote>
  <w:endnote w:type="continuationSeparator" w:id="0">
    <w:p w14:paraId="2E12AB23" w14:textId="77777777" w:rsidR="0051174D" w:rsidRDefault="0051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AF9D" w14:textId="77777777" w:rsidR="00875429" w:rsidRDefault="00875429">
    <w:pPr>
      <w:pBdr>
        <w:top w:val="nil"/>
        <w:left w:val="nil"/>
        <w:bottom w:val="nil"/>
        <w:right w:val="nil"/>
        <w:between w:val="nil"/>
      </w:pBdr>
      <w:jc w:val="center"/>
      <w:rPr>
        <w:color w:val="000000"/>
      </w:rPr>
    </w:pPr>
  </w:p>
  <w:p w14:paraId="4C5DC126" w14:textId="7B3FCF3B" w:rsidR="00875429" w:rsidRDefault="00394216">
    <w:pPr>
      <w:pBdr>
        <w:top w:val="nil"/>
        <w:left w:val="nil"/>
        <w:bottom w:val="nil"/>
        <w:right w:val="nil"/>
        <w:between w:val="nil"/>
      </w:pBdr>
      <w:jc w:val="center"/>
      <w:rPr>
        <w:color w:val="000000"/>
        <w:sz w:val="24"/>
        <w:szCs w:val="24"/>
      </w:rPr>
    </w:pPr>
    <w:r>
      <w:rPr>
        <w:color w:val="000000"/>
      </w:rPr>
      <w:t xml:space="preserve">Pag. </w:t>
    </w:r>
    <w:r>
      <w:rPr>
        <w:color w:val="000000"/>
      </w:rPr>
      <w:fldChar w:fldCharType="begin"/>
    </w:r>
    <w:r>
      <w:rPr>
        <w:color w:val="000000"/>
      </w:rPr>
      <w:instrText>PAGE</w:instrText>
    </w:r>
    <w:r>
      <w:rPr>
        <w:color w:val="000000"/>
      </w:rPr>
      <w:fldChar w:fldCharType="separate"/>
    </w:r>
    <w:r w:rsidR="005F2FAD">
      <w:rPr>
        <w:noProof/>
        <w:color w:val="000000"/>
      </w:rPr>
      <w:t>2</w:t>
    </w:r>
    <w:r>
      <w:rPr>
        <w:color w:val="000000"/>
      </w:rPr>
      <w:fldChar w:fldCharType="end"/>
    </w:r>
    <w:r>
      <w:rPr>
        <w:color w:val="000000"/>
      </w:rPr>
      <w:t xml:space="preserve"> di </w:t>
    </w:r>
    <w:r>
      <w:rPr>
        <w:color w:val="000000"/>
      </w:rPr>
      <w:fldChar w:fldCharType="begin"/>
    </w:r>
    <w:r>
      <w:rPr>
        <w:color w:val="000000"/>
      </w:rPr>
      <w:instrText>NUMPAGES</w:instrText>
    </w:r>
    <w:r>
      <w:rPr>
        <w:color w:val="000000"/>
      </w:rPr>
      <w:fldChar w:fldCharType="separate"/>
    </w:r>
    <w:r w:rsidR="005F2FAD">
      <w:rPr>
        <w:noProof/>
        <w:color w:val="000000"/>
      </w:rPr>
      <w:t>2</w:t>
    </w:r>
    <w:r>
      <w:rPr>
        <w:color w:val="000000"/>
      </w:rPr>
      <w:fldChar w:fldCharType="end"/>
    </w:r>
  </w:p>
  <w:p w14:paraId="43C7A19A" w14:textId="77777777" w:rsidR="00875429" w:rsidRDefault="00875429">
    <w:pPr>
      <w:pBdr>
        <w:top w:val="nil"/>
        <w:left w:val="nil"/>
        <w:bottom w:val="nil"/>
        <w:right w:val="nil"/>
        <w:between w:val="nil"/>
      </w:pBdr>
      <w:jc w:val="cente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3E1E" w14:textId="77777777" w:rsidR="00875429" w:rsidRDefault="00394216">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Per informazioni: </w:t>
    </w:r>
    <w:r>
      <w:rPr>
        <w:rFonts w:ascii="Arial" w:eastAsia="Arial" w:hAnsi="Arial" w:cs="Arial"/>
        <w:color w:val="000000"/>
        <w:sz w:val="16"/>
        <w:szCs w:val="16"/>
      </w:rPr>
      <w:tab/>
    </w:r>
  </w:p>
  <w:p w14:paraId="4FFCDE96" w14:textId="23818473" w:rsidR="00875429" w:rsidRDefault="00394216">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 </w:t>
    </w:r>
    <w:hyperlink r:id="rId1">
      <w:r>
        <w:rPr>
          <w:rFonts w:ascii="Arial" w:eastAsia="Arial" w:hAnsi="Arial" w:cs="Arial"/>
          <w:color w:val="0563C1"/>
          <w:sz w:val="16"/>
          <w:szCs w:val="16"/>
          <w:u w:val="single"/>
        </w:rPr>
        <w:t>t.murgia@assoporti.it</w:t>
      </w:r>
    </w:hyperlink>
    <w:r>
      <w:rPr>
        <w:rFonts w:ascii="Arial" w:eastAsia="Arial" w:hAnsi="Arial" w:cs="Arial"/>
        <w:color w:val="000000"/>
        <w:sz w:val="16"/>
        <w:szCs w:val="16"/>
      </w:rPr>
      <w:t xml:space="preserve">  (Tiziana Murgia)</w:t>
    </w:r>
  </w:p>
  <w:p w14:paraId="3AC2FE61" w14:textId="3D013DF8" w:rsidR="00CE5D91" w:rsidRDefault="00CE5D9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3466411288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1641" w14:textId="77777777" w:rsidR="0051174D" w:rsidRDefault="0051174D">
      <w:r>
        <w:separator/>
      </w:r>
    </w:p>
  </w:footnote>
  <w:footnote w:type="continuationSeparator" w:id="0">
    <w:p w14:paraId="12634638" w14:textId="77777777" w:rsidR="0051174D" w:rsidRDefault="0051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5E01" w14:textId="77777777" w:rsidR="00875429" w:rsidRDefault="00394216">
    <w:pPr>
      <w:pBdr>
        <w:top w:val="nil"/>
        <w:left w:val="nil"/>
        <w:bottom w:val="nil"/>
        <w:right w:val="nil"/>
        <w:between w:val="nil"/>
      </w:pBdr>
      <w:jc w:val="both"/>
      <w:rPr>
        <w:color w:val="FF0000"/>
        <w:sz w:val="24"/>
        <w:szCs w:val="24"/>
      </w:rPr>
    </w:pPr>
    <w:r>
      <w:rPr>
        <w:color w:val="000000"/>
        <w:sz w:val="24"/>
        <w:szCs w:val="24"/>
      </w:rPr>
      <w:tab/>
    </w:r>
    <w:r>
      <w:rPr>
        <w:b/>
        <w:noProof/>
        <w:color w:val="000000"/>
        <w:sz w:val="26"/>
        <w:szCs w:val="26"/>
      </w:rPr>
      <w:drawing>
        <wp:inline distT="0" distB="0" distL="114300" distR="114300" wp14:anchorId="5F4F9CE2" wp14:editId="0C428344">
          <wp:extent cx="3232785" cy="135128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32785" cy="1351280"/>
                  </a:xfrm>
                  <a:prstGeom prst="rect">
                    <a:avLst/>
                  </a:prstGeom>
                  <a:ln/>
                </pic:spPr>
              </pic:pic>
            </a:graphicData>
          </a:graphic>
        </wp:inline>
      </w:drawing>
    </w:r>
    <w:r>
      <w:rPr>
        <w:noProof/>
      </w:rPr>
      <mc:AlternateContent>
        <mc:Choice Requires="wps">
          <w:drawing>
            <wp:anchor distT="0" distB="0" distL="0" distR="0" simplePos="0" relativeHeight="251658240" behindDoc="0" locked="0" layoutInCell="1" hidden="0" allowOverlap="1" wp14:anchorId="6EB27029" wp14:editId="4E85D865">
              <wp:simplePos x="0" y="0"/>
              <wp:positionH relativeFrom="column">
                <wp:posOffset>-368299</wp:posOffset>
              </wp:positionH>
              <wp:positionV relativeFrom="paragraph">
                <wp:posOffset>12700</wp:posOffset>
              </wp:positionV>
              <wp:extent cx="2907030" cy="220345"/>
              <wp:effectExtent l="0" t="0" r="0" b="0"/>
              <wp:wrapSquare wrapText="bothSides" distT="0" distB="0" distL="0" distR="0"/>
              <wp:docPr id="1" name="Rettangolo 1"/>
              <wp:cNvGraphicFramePr/>
              <a:graphic xmlns:a="http://schemas.openxmlformats.org/drawingml/2006/main">
                <a:graphicData uri="http://schemas.microsoft.com/office/word/2010/wordprocessingShape">
                  <wps:wsp>
                    <wps:cNvSpPr/>
                    <wps:spPr>
                      <a:xfrm>
                        <a:off x="3897248" y="3674590"/>
                        <a:ext cx="2897505" cy="210820"/>
                      </a:xfrm>
                      <a:prstGeom prst="rect">
                        <a:avLst/>
                      </a:prstGeom>
                      <a:noFill/>
                      <a:ln>
                        <a:noFill/>
                      </a:ln>
                    </wps:spPr>
                    <wps:txbx>
                      <w:txbxContent>
                        <w:p w14:paraId="3C45200D" w14:textId="77777777" w:rsidR="00875429" w:rsidRDefault="00875429">
                          <w:pPr>
                            <w:textDirection w:val="btLr"/>
                          </w:pPr>
                        </w:p>
                      </w:txbxContent>
                    </wps:txbx>
                    <wps:bodyPr spcFirstLastPara="1" wrap="square" lIns="91425" tIns="91425" rIns="91425" bIns="91425" anchor="ctr" anchorCtr="0">
                      <a:noAutofit/>
                    </wps:bodyPr>
                  </wps:wsp>
                </a:graphicData>
              </a:graphic>
            </wp:anchor>
          </w:drawing>
        </mc:Choice>
        <mc:Fallback>
          <w:pict>
            <v:rect w14:anchorId="6EB27029" id="Rettangolo 1" o:spid="_x0000_s1026" style="position:absolute;left:0;text-align:left;margin-left:-29pt;margin-top:1pt;width:228.9pt;height:17.3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" filled="f" stroked="f">
              <v:textbox inset="2.53958mm,2.53958mm,2.53958mm,2.53958mm">
                <w:txbxContent>
                  <w:p w14:paraId="3C45200D" w14:textId="77777777" w:rsidR="00875429" w:rsidRDefault="00875429">
                    <w:pPr>
                      <w:textDirection w:val="btLr"/>
                    </w:pPr>
                  </w:p>
                </w:txbxContent>
              </v:textbox>
              <w10:wrap type="square"/>
            </v:rect>
          </w:pict>
        </mc:Fallback>
      </mc:AlternateContent>
    </w:r>
    <w:r>
      <w:rPr>
        <w:noProof/>
      </w:rPr>
      <mc:AlternateContent>
        <mc:Choice Requires="wps">
          <w:drawing>
            <wp:anchor distT="0" distB="0" distL="0" distR="0" simplePos="0" relativeHeight="251659264" behindDoc="0" locked="0" layoutInCell="1" hidden="0" allowOverlap="1" wp14:anchorId="7FCB6C23" wp14:editId="3A006590">
              <wp:simplePos x="0" y="0"/>
              <wp:positionH relativeFrom="column">
                <wp:posOffset>3136900</wp:posOffset>
              </wp:positionH>
              <wp:positionV relativeFrom="paragraph">
                <wp:posOffset>0</wp:posOffset>
              </wp:positionV>
              <wp:extent cx="3573780" cy="419100"/>
              <wp:effectExtent l="0" t="0" r="0" b="0"/>
              <wp:wrapSquare wrapText="bothSides" distT="0" distB="0" distL="0" distR="0"/>
              <wp:docPr id="2" name="Rettangolo 2"/>
              <wp:cNvGraphicFramePr/>
              <a:graphic xmlns:a="http://schemas.openxmlformats.org/drawingml/2006/main">
                <a:graphicData uri="http://schemas.microsoft.com/office/word/2010/wordprocessingShape">
                  <wps:wsp>
                    <wps:cNvSpPr/>
                    <wps:spPr>
                      <a:xfrm>
                        <a:off x="3563873" y="3575213"/>
                        <a:ext cx="3564255" cy="409575"/>
                      </a:xfrm>
                      <a:prstGeom prst="rect">
                        <a:avLst/>
                      </a:prstGeom>
                      <a:noFill/>
                      <a:ln>
                        <a:noFill/>
                      </a:ln>
                    </wps:spPr>
                    <wps:txbx>
                      <w:txbxContent>
                        <w:p w14:paraId="5C7FC42E" w14:textId="77777777" w:rsidR="00875429" w:rsidRDefault="00875429">
                          <w:pPr>
                            <w:textDirection w:val="btLr"/>
                          </w:pPr>
                        </w:p>
                      </w:txbxContent>
                    </wps:txbx>
                    <wps:bodyPr spcFirstLastPara="1" wrap="square" lIns="91425" tIns="91425" rIns="91425" bIns="91425" anchor="ctr" anchorCtr="0">
                      <a:noAutofit/>
                    </wps:bodyPr>
                  </wps:wsp>
                </a:graphicData>
              </a:graphic>
            </wp:anchor>
          </w:drawing>
        </mc:Choice>
        <mc:Fallback>
          <w:pict>
            <v:rect w14:anchorId="7FCB6C23" id="Rettangolo 2" o:spid="_x0000_s1027" style="position:absolute;left:0;text-align:left;margin-left:247pt;margin-top:0;width:281.4pt;height:33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" filled="f" stroked="f">
              <v:textbox inset="2.53958mm,2.53958mm,2.53958mm,2.53958mm">
                <w:txbxContent>
                  <w:p w14:paraId="5C7FC42E" w14:textId="77777777" w:rsidR="00875429" w:rsidRDefault="00875429">
                    <w:pPr>
                      <w:textDirection w:val="btLr"/>
                    </w:pPr>
                  </w:p>
                </w:txbxContent>
              </v:textbox>
              <w10:wrap type="square"/>
            </v:rect>
          </w:pict>
        </mc:Fallback>
      </mc:AlternateContent>
    </w:r>
  </w:p>
  <w:p w14:paraId="693EF832" w14:textId="77777777" w:rsidR="00875429" w:rsidRDefault="00875429">
    <w:pPr>
      <w:pBdr>
        <w:top w:val="nil"/>
        <w:left w:val="nil"/>
        <w:bottom w:val="nil"/>
        <w:right w:val="nil"/>
        <w:between w:val="nil"/>
      </w:pBdr>
      <w:ind w:left="20" w:firstLine="688"/>
      <w:jc w:val="both"/>
      <w:rPr>
        <w:color w:val="002492"/>
        <w:sz w:val="24"/>
        <w:szCs w:val="24"/>
      </w:rPr>
    </w:pPr>
  </w:p>
  <w:p w14:paraId="2FC479F8" w14:textId="77777777" w:rsidR="00875429" w:rsidRDefault="00875429">
    <w:pPr>
      <w:pBdr>
        <w:top w:val="nil"/>
        <w:left w:val="nil"/>
        <w:bottom w:val="nil"/>
        <w:right w:val="nil"/>
        <w:between w:val="nil"/>
      </w:pBdr>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32E"/>
    <w:multiLevelType w:val="multilevel"/>
    <w:tmpl w:val="6D86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116DAB"/>
    <w:multiLevelType w:val="multilevel"/>
    <w:tmpl w:val="061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04899">
    <w:abstractNumId w:val="0"/>
  </w:num>
  <w:num w:numId="2" w16cid:durableId="12716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29"/>
    <w:rsid w:val="000218AA"/>
    <w:rsid w:val="0003781D"/>
    <w:rsid w:val="00037ACB"/>
    <w:rsid w:val="00041988"/>
    <w:rsid w:val="00046B97"/>
    <w:rsid w:val="000A53D4"/>
    <w:rsid w:val="00175C89"/>
    <w:rsid w:val="00194798"/>
    <w:rsid w:val="001A75A3"/>
    <w:rsid w:val="001C041B"/>
    <w:rsid w:val="001C6D97"/>
    <w:rsid w:val="001D2CF1"/>
    <w:rsid w:val="001F06E6"/>
    <w:rsid w:val="00204F4D"/>
    <w:rsid w:val="002149F4"/>
    <w:rsid w:val="002444B1"/>
    <w:rsid w:val="00256910"/>
    <w:rsid w:val="002E03B2"/>
    <w:rsid w:val="002E605D"/>
    <w:rsid w:val="003249CA"/>
    <w:rsid w:val="003556F5"/>
    <w:rsid w:val="0038134E"/>
    <w:rsid w:val="00394216"/>
    <w:rsid w:val="00407D90"/>
    <w:rsid w:val="00505947"/>
    <w:rsid w:val="00507EE2"/>
    <w:rsid w:val="0051174D"/>
    <w:rsid w:val="00537F73"/>
    <w:rsid w:val="00576720"/>
    <w:rsid w:val="00591A75"/>
    <w:rsid w:val="005F2FAD"/>
    <w:rsid w:val="00632D87"/>
    <w:rsid w:val="006533E7"/>
    <w:rsid w:val="006B360A"/>
    <w:rsid w:val="006D25D4"/>
    <w:rsid w:val="00717CCE"/>
    <w:rsid w:val="0077398D"/>
    <w:rsid w:val="00783D4E"/>
    <w:rsid w:val="00792D99"/>
    <w:rsid w:val="007B3A01"/>
    <w:rsid w:val="007D2FAA"/>
    <w:rsid w:val="007E188B"/>
    <w:rsid w:val="007E2BC7"/>
    <w:rsid w:val="00855DAF"/>
    <w:rsid w:val="0086077B"/>
    <w:rsid w:val="00875429"/>
    <w:rsid w:val="008929EC"/>
    <w:rsid w:val="008E161B"/>
    <w:rsid w:val="00902A25"/>
    <w:rsid w:val="00933FF3"/>
    <w:rsid w:val="0095376A"/>
    <w:rsid w:val="00960F8A"/>
    <w:rsid w:val="00985344"/>
    <w:rsid w:val="009C7191"/>
    <w:rsid w:val="00A24C00"/>
    <w:rsid w:val="00A6422A"/>
    <w:rsid w:val="00A8455C"/>
    <w:rsid w:val="00AD6718"/>
    <w:rsid w:val="00AE25F3"/>
    <w:rsid w:val="00B135AF"/>
    <w:rsid w:val="00BA3136"/>
    <w:rsid w:val="00BB21B2"/>
    <w:rsid w:val="00BF0590"/>
    <w:rsid w:val="00BF3551"/>
    <w:rsid w:val="00BF3AF4"/>
    <w:rsid w:val="00C05473"/>
    <w:rsid w:val="00C104A6"/>
    <w:rsid w:val="00C47103"/>
    <w:rsid w:val="00C55CBF"/>
    <w:rsid w:val="00C573FB"/>
    <w:rsid w:val="00C67511"/>
    <w:rsid w:val="00C67EDB"/>
    <w:rsid w:val="00CA65C4"/>
    <w:rsid w:val="00CE323A"/>
    <w:rsid w:val="00CE5D91"/>
    <w:rsid w:val="00DB1254"/>
    <w:rsid w:val="00DB4397"/>
    <w:rsid w:val="00E33E2E"/>
    <w:rsid w:val="00E36907"/>
    <w:rsid w:val="00E605D2"/>
    <w:rsid w:val="00EE437A"/>
    <w:rsid w:val="00F05E3D"/>
    <w:rsid w:val="00F13ED7"/>
    <w:rsid w:val="00FB2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C4E8"/>
  <w15:docId w15:val="{E1C232B4-D67E-483D-9549-9649D1A6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13E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ED7"/>
    <w:rPr>
      <w:rFonts w:ascii="Tahoma" w:hAnsi="Tahoma" w:cs="Tahoma"/>
      <w:sz w:val="16"/>
      <w:szCs w:val="16"/>
    </w:rPr>
  </w:style>
  <w:style w:type="paragraph" w:styleId="NormaleWeb">
    <w:name w:val="Normal (Web)"/>
    <w:basedOn w:val="Normale"/>
    <w:uiPriority w:val="99"/>
    <w:semiHidden/>
    <w:unhideWhenUsed/>
    <w:rsid w:val="003556F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5F2FAD"/>
  </w:style>
  <w:style w:type="paragraph" w:styleId="Intestazione">
    <w:name w:val="header"/>
    <w:basedOn w:val="Normale"/>
    <w:link w:val="IntestazioneCarattere"/>
    <w:uiPriority w:val="99"/>
    <w:unhideWhenUsed/>
    <w:rsid w:val="00CE5D91"/>
    <w:pPr>
      <w:tabs>
        <w:tab w:val="center" w:pos="4819"/>
        <w:tab w:val="right" w:pos="9638"/>
      </w:tabs>
    </w:pPr>
  </w:style>
  <w:style w:type="character" w:customStyle="1" w:styleId="IntestazioneCarattere">
    <w:name w:val="Intestazione Carattere"/>
    <w:basedOn w:val="Carpredefinitoparagrafo"/>
    <w:link w:val="Intestazione"/>
    <w:uiPriority w:val="99"/>
    <w:rsid w:val="00CE5D91"/>
  </w:style>
  <w:style w:type="paragraph" w:styleId="Pidipagina">
    <w:name w:val="footer"/>
    <w:basedOn w:val="Normale"/>
    <w:link w:val="PidipaginaCarattere"/>
    <w:uiPriority w:val="99"/>
    <w:unhideWhenUsed/>
    <w:rsid w:val="00CE5D91"/>
    <w:pPr>
      <w:tabs>
        <w:tab w:val="center" w:pos="4819"/>
        <w:tab w:val="right" w:pos="9638"/>
      </w:tabs>
    </w:pPr>
  </w:style>
  <w:style w:type="character" w:customStyle="1" w:styleId="PidipaginaCarattere">
    <w:name w:val="Piè di pagina Carattere"/>
    <w:basedOn w:val="Carpredefinitoparagrafo"/>
    <w:link w:val="Pidipagina"/>
    <w:uiPriority w:val="99"/>
    <w:rsid w:val="00CE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4188">
      <w:bodyDiv w:val="1"/>
      <w:marLeft w:val="0"/>
      <w:marRight w:val="0"/>
      <w:marTop w:val="0"/>
      <w:marBottom w:val="0"/>
      <w:divBdr>
        <w:top w:val="none" w:sz="0" w:space="0" w:color="auto"/>
        <w:left w:val="none" w:sz="0" w:space="0" w:color="auto"/>
        <w:bottom w:val="none" w:sz="0" w:space="0" w:color="auto"/>
        <w:right w:val="none" w:sz="0" w:space="0" w:color="auto"/>
      </w:divBdr>
      <w:divsChild>
        <w:div w:id="20605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494623">
              <w:marLeft w:val="0"/>
              <w:marRight w:val="0"/>
              <w:marTop w:val="0"/>
              <w:marBottom w:val="0"/>
              <w:divBdr>
                <w:top w:val="none" w:sz="0" w:space="0" w:color="auto"/>
                <w:left w:val="none" w:sz="0" w:space="0" w:color="auto"/>
                <w:bottom w:val="none" w:sz="0" w:space="0" w:color="auto"/>
                <w:right w:val="none" w:sz="0" w:space="0" w:color="auto"/>
              </w:divBdr>
              <w:divsChild>
                <w:div w:id="418209905">
                  <w:marLeft w:val="0"/>
                  <w:marRight w:val="0"/>
                  <w:marTop w:val="0"/>
                  <w:marBottom w:val="0"/>
                  <w:divBdr>
                    <w:top w:val="none" w:sz="0" w:space="0" w:color="auto"/>
                    <w:left w:val="none" w:sz="0" w:space="0" w:color="auto"/>
                    <w:bottom w:val="none" w:sz="0" w:space="0" w:color="auto"/>
                    <w:right w:val="none" w:sz="0" w:space="0" w:color="auto"/>
                  </w:divBdr>
                  <w:divsChild>
                    <w:div w:id="1843469675">
                      <w:marLeft w:val="0"/>
                      <w:marRight w:val="0"/>
                      <w:marTop w:val="0"/>
                      <w:marBottom w:val="0"/>
                      <w:divBdr>
                        <w:top w:val="none" w:sz="0" w:space="0" w:color="auto"/>
                        <w:left w:val="none" w:sz="0" w:space="0" w:color="auto"/>
                        <w:bottom w:val="none" w:sz="0" w:space="0" w:color="auto"/>
                        <w:right w:val="none" w:sz="0" w:space="0" w:color="auto"/>
                      </w:divBdr>
                      <w:divsChild>
                        <w:div w:id="10128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08760">
      <w:bodyDiv w:val="1"/>
      <w:marLeft w:val="0"/>
      <w:marRight w:val="0"/>
      <w:marTop w:val="0"/>
      <w:marBottom w:val="0"/>
      <w:divBdr>
        <w:top w:val="none" w:sz="0" w:space="0" w:color="auto"/>
        <w:left w:val="none" w:sz="0" w:space="0" w:color="auto"/>
        <w:bottom w:val="none" w:sz="0" w:space="0" w:color="auto"/>
        <w:right w:val="none" w:sz="0" w:space="0" w:color="auto"/>
      </w:divBdr>
    </w:div>
    <w:div w:id="988291858">
      <w:bodyDiv w:val="1"/>
      <w:marLeft w:val="0"/>
      <w:marRight w:val="0"/>
      <w:marTop w:val="0"/>
      <w:marBottom w:val="0"/>
      <w:divBdr>
        <w:top w:val="none" w:sz="0" w:space="0" w:color="auto"/>
        <w:left w:val="none" w:sz="0" w:space="0" w:color="auto"/>
        <w:bottom w:val="none" w:sz="0" w:space="0" w:color="auto"/>
        <w:right w:val="none" w:sz="0" w:space="0" w:color="auto"/>
      </w:divBdr>
      <w:divsChild>
        <w:div w:id="208152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066313">
              <w:marLeft w:val="0"/>
              <w:marRight w:val="0"/>
              <w:marTop w:val="0"/>
              <w:marBottom w:val="0"/>
              <w:divBdr>
                <w:top w:val="none" w:sz="0" w:space="0" w:color="auto"/>
                <w:left w:val="none" w:sz="0" w:space="0" w:color="auto"/>
                <w:bottom w:val="none" w:sz="0" w:space="0" w:color="auto"/>
                <w:right w:val="none" w:sz="0" w:space="0" w:color="auto"/>
              </w:divBdr>
              <w:divsChild>
                <w:div w:id="1193959835">
                  <w:marLeft w:val="0"/>
                  <w:marRight w:val="0"/>
                  <w:marTop w:val="0"/>
                  <w:marBottom w:val="0"/>
                  <w:divBdr>
                    <w:top w:val="none" w:sz="0" w:space="0" w:color="auto"/>
                    <w:left w:val="none" w:sz="0" w:space="0" w:color="auto"/>
                    <w:bottom w:val="none" w:sz="0" w:space="0" w:color="auto"/>
                    <w:right w:val="none" w:sz="0" w:space="0" w:color="auto"/>
                  </w:divBdr>
                  <w:divsChild>
                    <w:div w:id="1928809029">
                      <w:marLeft w:val="0"/>
                      <w:marRight w:val="0"/>
                      <w:marTop w:val="0"/>
                      <w:marBottom w:val="0"/>
                      <w:divBdr>
                        <w:top w:val="none" w:sz="0" w:space="0" w:color="auto"/>
                        <w:left w:val="none" w:sz="0" w:space="0" w:color="auto"/>
                        <w:bottom w:val="none" w:sz="0" w:space="0" w:color="auto"/>
                        <w:right w:val="none" w:sz="0" w:space="0" w:color="auto"/>
                      </w:divBdr>
                      <w:divsChild>
                        <w:div w:id="38942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189480">
                              <w:marLeft w:val="0"/>
                              <w:marRight w:val="0"/>
                              <w:marTop w:val="0"/>
                              <w:marBottom w:val="0"/>
                              <w:divBdr>
                                <w:top w:val="none" w:sz="0" w:space="0" w:color="auto"/>
                                <w:left w:val="none" w:sz="0" w:space="0" w:color="auto"/>
                                <w:bottom w:val="none" w:sz="0" w:space="0" w:color="auto"/>
                                <w:right w:val="none" w:sz="0" w:space="0" w:color="auto"/>
                              </w:divBdr>
                              <w:divsChild>
                                <w:div w:id="1693921203">
                                  <w:marLeft w:val="0"/>
                                  <w:marRight w:val="0"/>
                                  <w:marTop w:val="0"/>
                                  <w:marBottom w:val="0"/>
                                  <w:divBdr>
                                    <w:top w:val="none" w:sz="0" w:space="0" w:color="auto"/>
                                    <w:left w:val="none" w:sz="0" w:space="0" w:color="auto"/>
                                    <w:bottom w:val="none" w:sz="0" w:space="0" w:color="auto"/>
                                    <w:right w:val="none" w:sz="0" w:space="0" w:color="auto"/>
                                  </w:divBdr>
                                  <w:divsChild>
                                    <w:div w:id="19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436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murgia@assopor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Rossi</dc:creator>
  <cp:lastModifiedBy>Dimitri Caporilli</cp:lastModifiedBy>
  <cp:revision>2</cp:revision>
  <cp:lastPrinted>2022-10-20T09:55:00Z</cp:lastPrinted>
  <dcterms:created xsi:type="dcterms:W3CDTF">2023-09-19T14:19:00Z</dcterms:created>
  <dcterms:modified xsi:type="dcterms:W3CDTF">2023-09-19T14:19:00Z</dcterms:modified>
</cp:coreProperties>
</file>